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664" w:rsidRPr="008E60C6" w:rsidRDefault="00EE796E" w:rsidP="008E60C6">
      <w:pPr>
        <w:jc w:val="center"/>
        <w:rPr>
          <w:rFonts w:cstheme="minorHAnsi"/>
          <w:b/>
          <w:sz w:val="32"/>
          <w:szCs w:val="20"/>
          <w:u w:val="single"/>
        </w:rPr>
      </w:pPr>
      <w:r w:rsidRPr="008E60C6">
        <w:rPr>
          <w:rFonts w:cstheme="minorHAnsi"/>
          <w:b/>
          <w:sz w:val="32"/>
          <w:szCs w:val="20"/>
          <w:u w:val="single"/>
        </w:rPr>
        <w:t>Year 10 H</w:t>
      </w:r>
      <w:r w:rsidR="008E60C6">
        <w:rPr>
          <w:rFonts w:cstheme="minorHAnsi"/>
          <w:b/>
          <w:sz w:val="32"/>
          <w:szCs w:val="20"/>
          <w:u w:val="single"/>
        </w:rPr>
        <w:t>ealth &amp; Social Care</w:t>
      </w:r>
      <w:bookmarkStart w:id="0" w:name="_GoBack"/>
      <w:bookmarkEnd w:id="0"/>
    </w:p>
    <w:tbl>
      <w:tblPr>
        <w:tblStyle w:val="TableGrid"/>
        <w:tblW w:w="5000" w:type="pct"/>
        <w:tblLook w:val="04A0" w:firstRow="1" w:lastRow="0" w:firstColumn="1" w:lastColumn="0" w:noHBand="0" w:noVBand="1"/>
      </w:tblPr>
      <w:tblGrid>
        <w:gridCol w:w="3703"/>
        <w:gridCol w:w="3785"/>
        <w:gridCol w:w="4075"/>
        <w:gridCol w:w="3825"/>
      </w:tblGrid>
      <w:tr w:rsidR="008E60C6" w:rsidRPr="008F04E6" w:rsidTr="008E60C6">
        <w:trPr>
          <w:tblHeader/>
        </w:trPr>
        <w:tc>
          <w:tcPr>
            <w:tcW w:w="1203" w:type="pct"/>
          </w:tcPr>
          <w:p w:rsidR="008E60C6" w:rsidRPr="008F04E6" w:rsidRDefault="008E60C6" w:rsidP="00F8545B">
            <w:pPr>
              <w:jc w:val="center"/>
              <w:rPr>
                <w:rFonts w:cstheme="minorHAnsi"/>
                <w:sz w:val="20"/>
                <w:szCs w:val="20"/>
              </w:rPr>
            </w:pPr>
          </w:p>
        </w:tc>
        <w:tc>
          <w:tcPr>
            <w:tcW w:w="1230" w:type="pct"/>
          </w:tcPr>
          <w:p w:rsidR="008E60C6" w:rsidRPr="008F04E6" w:rsidRDefault="008E60C6" w:rsidP="00F8545B">
            <w:pPr>
              <w:jc w:val="center"/>
              <w:rPr>
                <w:rFonts w:cstheme="minorHAnsi"/>
                <w:sz w:val="20"/>
                <w:szCs w:val="20"/>
                <w:u w:val="single"/>
              </w:rPr>
            </w:pPr>
            <w:r w:rsidRPr="008F04E6">
              <w:rPr>
                <w:rFonts w:cstheme="minorHAnsi"/>
                <w:sz w:val="20"/>
                <w:szCs w:val="20"/>
                <w:u w:val="single"/>
              </w:rPr>
              <w:t>Topic</w:t>
            </w:r>
          </w:p>
        </w:tc>
        <w:tc>
          <w:tcPr>
            <w:tcW w:w="1324" w:type="pct"/>
          </w:tcPr>
          <w:p w:rsidR="008E60C6" w:rsidRPr="008F04E6" w:rsidRDefault="008E60C6" w:rsidP="00F8545B">
            <w:pPr>
              <w:jc w:val="center"/>
              <w:rPr>
                <w:rFonts w:cstheme="minorHAnsi"/>
                <w:sz w:val="20"/>
                <w:szCs w:val="20"/>
                <w:u w:val="single"/>
              </w:rPr>
            </w:pPr>
            <w:r w:rsidRPr="008F04E6">
              <w:rPr>
                <w:rFonts w:cstheme="minorHAnsi"/>
                <w:sz w:val="20"/>
                <w:szCs w:val="20"/>
                <w:u w:val="single"/>
              </w:rPr>
              <w:t xml:space="preserve">Key concept – </w:t>
            </w:r>
            <w:r w:rsidRPr="008F04E6">
              <w:rPr>
                <w:rFonts w:cstheme="minorHAnsi"/>
                <w:sz w:val="20"/>
                <w:szCs w:val="20"/>
              </w:rPr>
              <w:t>what do I want the students to learn from this unit?</w:t>
            </w:r>
          </w:p>
        </w:tc>
        <w:tc>
          <w:tcPr>
            <w:tcW w:w="1243" w:type="pct"/>
          </w:tcPr>
          <w:p w:rsidR="008E60C6" w:rsidRPr="008F04E6" w:rsidRDefault="008E60C6" w:rsidP="00F8545B">
            <w:pPr>
              <w:jc w:val="center"/>
              <w:rPr>
                <w:rFonts w:cstheme="minorHAnsi"/>
                <w:sz w:val="20"/>
                <w:szCs w:val="20"/>
                <w:u w:val="single"/>
              </w:rPr>
            </w:pPr>
            <w:r w:rsidRPr="008F04E6">
              <w:rPr>
                <w:rFonts w:cstheme="minorHAnsi"/>
                <w:sz w:val="20"/>
                <w:szCs w:val="20"/>
                <w:u w:val="single"/>
              </w:rPr>
              <w:t>What knowledge will they acquire?</w:t>
            </w:r>
          </w:p>
        </w:tc>
      </w:tr>
      <w:tr w:rsidR="008E60C6" w:rsidRPr="008F04E6" w:rsidTr="008E60C6">
        <w:tc>
          <w:tcPr>
            <w:tcW w:w="5000" w:type="pct"/>
            <w:gridSpan w:val="4"/>
          </w:tcPr>
          <w:p w:rsidR="008E60C6" w:rsidRPr="008F04E6" w:rsidRDefault="008E60C6" w:rsidP="00F8545B">
            <w:pPr>
              <w:tabs>
                <w:tab w:val="left" w:pos="1920"/>
                <w:tab w:val="center" w:pos="7662"/>
              </w:tabs>
              <w:rPr>
                <w:rFonts w:cstheme="minorHAnsi"/>
                <w:sz w:val="20"/>
                <w:szCs w:val="20"/>
              </w:rPr>
            </w:pPr>
            <w:r w:rsidRPr="008F04E6">
              <w:rPr>
                <w:rFonts w:cstheme="minorHAnsi"/>
                <w:sz w:val="20"/>
                <w:szCs w:val="20"/>
              </w:rPr>
              <w:tab/>
            </w:r>
            <w:r w:rsidRPr="008F04E6">
              <w:rPr>
                <w:rFonts w:cstheme="minorHAnsi"/>
                <w:sz w:val="20"/>
                <w:szCs w:val="20"/>
              </w:rPr>
              <w:tab/>
              <w:t>YEAR 10 OVERVIEW</w:t>
            </w:r>
          </w:p>
        </w:tc>
      </w:tr>
      <w:tr w:rsidR="008E60C6" w:rsidRPr="008F04E6" w:rsidTr="008E60C6">
        <w:tc>
          <w:tcPr>
            <w:tcW w:w="1203" w:type="pct"/>
          </w:tcPr>
          <w:p w:rsidR="008E60C6" w:rsidRDefault="008E60C6" w:rsidP="00697701">
            <w:pPr>
              <w:rPr>
                <w:rFonts w:cstheme="minorHAnsi"/>
                <w:b/>
                <w:sz w:val="20"/>
                <w:szCs w:val="20"/>
              </w:rPr>
            </w:pPr>
            <w:r w:rsidRPr="008E60C6">
              <w:rPr>
                <w:rFonts w:cstheme="minorHAnsi"/>
                <w:b/>
                <w:sz w:val="20"/>
                <w:szCs w:val="20"/>
              </w:rPr>
              <w:t>Y10 -  half term 1</w:t>
            </w:r>
          </w:p>
          <w:p w:rsidR="008E60C6" w:rsidRDefault="008E60C6" w:rsidP="00697701">
            <w:pPr>
              <w:rPr>
                <w:rFonts w:cstheme="minorHAnsi"/>
                <w:b/>
                <w:sz w:val="20"/>
                <w:szCs w:val="20"/>
              </w:rPr>
            </w:pPr>
          </w:p>
          <w:p w:rsidR="008E60C6" w:rsidRDefault="008E60C6" w:rsidP="00697701">
            <w:pPr>
              <w:rPr>
                <w:rFonts w:cstheme="minorHAnsi"/>
                <w:b/>
                <w:sz w:val="20"/>
                <w:szCs w:val="20"/>
              </w:rPr>
            </w:pPr>
          </w:p>
          <w:p w:rsidR="008E60C6" w:rsidRPr="008E60C6" w:rsidRDefault="008E60C6" w:rsidP="00697701">
            <w:pPr>
              <w:rPr>
                <w:rFonts w:cstheme="minorHAnsi"/>
                <w:b/>
                <w:sz w:val="20"/>
                <w:szCs w:val="20"/>
              </w:rPr>
            </w:pPr>
            <w:r w:rsidRPr="008E60C6">
              <w:rPr>
                <w:rFonts w:cstheme="minorHAnsi"/>
                <w:b/>
                <w:sz w:val="20"/>
                <w:szCs w:val="20"/>
              </w:rPr>
              <w:t>Y10 – half term 2</w:t>
            </w:r>
          </w:p>
        </w:tc>
        <w:tc>
          <w:tcPr>
            <w:tcW w:w="1230" w:type="pct"/>
          </w:tcPr>
          <w:p w:rsidR="008E60C6" w:rsidRPr="008F04E6" w:rsidRDefault="008E60C6" w:rsidP="00697701">
            <w:pPr>
              <w:rPr>
                <w:rFonts w:cstheme="minorHAnsi"/>
                <w:sz w:val="20"/>
                <w:szCs w:val="20"/>
              </w:rPr>
            </w:pPr>
            <w:r w:rsidRPr="008F04E6">
              <w:rPr>
                <w:rFonts w:cstheme="minorHAnsi"/>
                <w:sz w:val="20"/>
                <w:szCs w:val="20"/>
              </w:rPr>
              <w:t>RO29</w:t>
            </w:r>
          </w:p>
          <w:p w:rsidR="008E60C6" w:rsidRPr="008F04E6" w:rsidRDefault="008E60C6" w:rsidP="00697701">
            <w:pPr>
              <w:rPr>
                <w:rFonts w:cstheme="minorHAnsi"/>
                <w:sz w:val="20"/>
                <w:szCs w:val="20"/>
              </w:rPr>
            </w:pPr>
            <w:r w:rsidRPr="008F04E6">
              <w:rPr>
                <w:rFonts w:cstheme="minorHAnsi"/>
                <w:bCs/>
                <w:sz w:val="20"/>
                <w:szCs w:val="20"/>
              </w:rPr>
              <w:t>Understanding the nutrients needed for good health</w:t>
            </w:r>
          </w:p>
          <w:p w:rsidR="008E60C6" w:rsidRPr="008F04E6" w:rsidRDefault="008E60C6" w:rsidP="00697701">
            <w:pPr>
              <w:rPr>
                <w:rFonts w:cstheme="minorHAnsi"/>
                <w:sz w:val="20"/>
                <w:szCs w:val="20"/>
              </w:rPr>
            </w:pPr>
          </w:p>
        </w:tc>
        <w:tc>
          <w:tcPr>
            <w:tcW w:w="1324" w:type="pct"/>
          </w:tcPr>
          <w:p w:rsidR="008E60C6" w:rsidRPr="008F04E6" w:rsidRDefault="008E60C6" w:rsidP="00697701">
            <w:pPr>
              <w:rPr>
                <w:rFonts w:cstheme="minorHAnsi"/>
                <w:sz w:val="20"/>
                <w:szCs w:val="20"/>
              </w:rPr>
            </w:pPr>
            <w:r w:rsidRPr="008F04E6">
              <w:rPr>
                <w:rFonts w:cstheme="minorHAnsi"/>
                <w:color w:val="000000"/>
                <w:sz w:val="20"/>
                <w:szCs w:val="20"/>
              </w:rPr>
              <w:t>On completion of this unit learners will have an understanding of the key nutrients required for good health from childhood to old age and be able to apply this knowledge in practical situations.</w:t>
            </w:r>
          </w:p>
        </w:tc>
        <w:tc>
          <w:tcPr>
            <w:tcW w:w="1243" w:type="pct"/>
          </w:tcPr>
          <w:p w:rsidR="008E60C6" w:rsidRDefault="008E60C6" w:rsidP="00697701">
            <w:pPr>
              <w:rPr>
                <w:rFonts w:cstheme="minorHAnsi"/>
                <w:color w:val="000000"/>
                <w:sz w:val="20"/>
                <w:szCs w:val="20"/>
              </w:rPr>
            </w:pPr>
            <w:r w:rsidRPr="008F04E6">
              <w:rPr>
                <w:rFonts w:cstheme="minorHAnsi"/>
                <w:color w:val="000000"/>
                <w:sz w:val="20"/>
                <w:szCs w:val="20"/>
              </w:rPr>
              <w:t xml:space="preserve">This unit gives learners an overview of the importance of diet throughout the life stages, giving them the knowledge and skills to enable them to make choices which will affect their body throughout their lives. </w:t>
            </w:r>
          </w:p>
          <w:p w:rsidR="008E60C6" w:rsidRDefault="008E60C6" w:rsidP="00697701">
            <w:pPr>
              <w:rPr>
                <w:rFonts w:cstheme="minorHAnsi"/>
                <w:color w:val="000000"/>
                <w:sz w:val="20"/>
                <w:szCs w:val="20"/>
              </w:rPr>
            </w:pPr>
          </w:p>
          <w:p w:rsidR="008E60C6" w:rsidRDefault="008E60C6" w:rsidP="00697701">
            <w:pPr>
              <w:rPr>
                <w:rFonts w:cstheme="minorHAnsi"/>
                <w:color w:val="000000"/>
                <w:sz w:val="20"/>
                <w:szCs w:val="20"/>
              </w:rPr>
            </w:pPr>
            <w:r w:rsidRPr="008F04E6">
              <w:rPr>
                <w:rFonts w:cstheme="minorHAnsi"/>
                <w:color w:val="000000"/>
                <w:sz w:val="20"/>
                <w:szCs w:val="20"/>
              </w:rPr>
              <w:t>Food is essential to our health and social well-being, throughout our daily lives from birth to old age. What we eat is often determined by a</w:t>
            </w:r>
            <w:r>
              <w:rPr>
                <w:rFonts w:cstheme="minorHAnsi"/>
                <w:color w:val="000000"/>
                <w:sz w:val="20"/>
                <w:szCs w:val="20"/>
              </w:rPr>
              <w:t xml:space="preserve"> considerable number of factors.</w:t>
            </w:r>
          </w:p>
          <w:p w:rsidR="008E60C6" w:rsidRPr="008F04E6" w:rsidRDefault="008E60C6" w:rsidP="00697701">
            <w:pPr>
              <w:rPr>
                <w:rFonts w:cstheme="minorHAnsi"/>
                <w:sz w:val="20"/>
                <w:szCs w:val="20"/>
              </w:rPr>
            </w:pPr>
          </w:p>
        </w:tc>
      </w:tr>
      <w:tr w:rsidR="008E60C6" w:rsidRPr="008F04E6" w:rsidTr="008E60C6">
        <w:tc>
          <w:tcPr>
            <w:tcW w:w="1203" w:type="pct"/>
          </w:tcPr>
          <w:p w:rsidR="008E60C6" w:rsidRDefault="008E60C6" w:rsidP="00F8545B">
            <w:pPr>
              <w:rPr>
                <w:rFonts w:cstheme="minorHAnsi"/>
                <w:b/>
                <w:sz w:val="20"/>
                <w:szCs w:val="20"/>
              </w:rPr>
            </w:pPr>
            <w:r w:rsidRPr="008E60C6">
              <w:rPr>
                <w:rFonts w:cstheme="minorHAnsi"/>
                <w:b/>
                <w:sz w:val="20"/>
                <w:szCs w:val="20"/>
              </w:rPr>
              <w:t>Y10 – half term 3</w:t>
            </w:r>
          </w:p>
          <w:p w:rsidR="008E60C6" w:rsidRDefault="008E60C6" w:rsidP="00F8545B">
            <w:pPr>
              <w:rPr>
                <w:rFonts w:cstheme="minorHAnsi"/>
                <w:b/>
                <w:sz w:val="20"/>
                <w:szCs w:val="20"/>
              </w:rPr>
            </w:pPr>
          </w:p>
          <w:p w:rsidR="008E60C6" w:rsidRDefault="008E60C6" w:rsidP="00F8545B">
            <w:pPr>
              <w:rPr>
                <w:rFonts w:cstheme="minorHAnsi"/>
                <w:b/>
                <w:sz w:val="20"/>
                <w:szCs w:val="20"/>
              </w:rPr>
            </w:pPr>
          </w:p>
          <w:p w:rsidR="008E60C6" w:rsidRDefault="008E60C6" w:rsidP="00F8545B">
            <w:pPr>
              <w:rPr>
                <w:rFonts w:cstheme="minorHAnsi"/>
                <w:b/>
                <w:sz w:val="20"/>
                <w:szCs w:val="20"/>
              </w:rPr>
            </w:pPr>
            <w:r w:rsidRPr="008E60C6">
              <w:rPr>
                <w:rFonts w:cstheme="minorHAnsi"/>
                <w:b/>
                <w:sz w:val="20"/>
                <w:szCs w:val="20"/>
              </w:rPr>
              <w:t>Y10 – half term 4</w:t>
            </w:r>
          </w:p>
          <w:p w:rsidR="008E60C6" w:rsidRDefault="008E60C6" w:rsidP="00F8545B">
            <w:pPr>
              <w:rPr>
                <w:rFonts w:cstheme="minorHAnsi"/>
                <w:b/>
                <w:sz w:val="20"/>
                <w:szCs w:val="20"/>
              </w:rPr>
            </w:pPr>
          </w:p>
          <w:p w:rsidR="008E60C6" w:rsidRDefault="008E60C6" w:rsidP="00F8545B">
            <w:pPr>
              <w:rPr>
                <w:rFonts w:cstheme="minorHAnsi"/>
                <w:b/>
                <w:sz w:val="20"/>
                <w:szCs w:val="20"/>
              </w:rPr>
            </w:pPr>
          </w:p>
          <w:p w:rsidR="008E60C6" w:rsidRPr="008E60C6" w:rsidRDefault="008E60C6" w:rsidP="00F8545B">
            <w:pPr>
              <w:rPr>
                <w:rFonts w:cstheme="minorHAnsi"/>
                <w:b/>
                <w:sz w:val="20"/>
                <w:szCs w:val="20"/>
              </w:rPr>
            </w:pPr>
            <w:r w:rsidRPr="008E60C6">
              <w:rPr>
                <w:rFonts w:cstheme="minorHAnsi"/>
                <w:b/>
                <w:sz w:val="20"/>
                <w:szCs w:val="20"/>
              </w:rPr>
              <w:t>Y10 – half term 5</w:t>
            </w:r>
          </w:p>
        </w:tc>
        <w:tc>
          <w:tcPr>
            <w:tcW w:w="1230" w:type="pct"/>
          </w:tcPr>
          <w:p w:rsidR="008E60C6" w:rsidRPr="008F04E6" w:rsidRDefault="008E60C6" w:rsidP="00F8545B">
            <w:pPr>
              <w:rPr>
                <w:rFonts w:cstheme="minorHAnsi"/>
                <w:sz w:val="20"/>
                <w:szCs w:val="20"/>
              </w:rPr>
            </w:pPr>
            <w:r w:rsidRPr="008F04E6">
              <w:rPr>
                <w:rFonts w:cstheme="minorHAnsi"/>
                <w:sz w:val="20"/>
                <w:szCs w:val="20"/>
              </w:rPr>
              <w:t>RO21</w:t>
            </w:r>
          </w:p>
          <w:p w:rsidR="008E60C6" w:rsidRPr="008F04E6" w:rsidRDefault="008E60C6" w:rsidP="00F8545B">
            <w:pPr>
              <w:rPr>
                <w:rFonts w:cstheme="minorHAnsi"/>
                <w:sz w:val="20"/>
                <w:szCs w:val="20"/>
              </w:rPr>
            </w:pPr>
            <w:r w:rsidRPr="008F04E6">
              <w:rPr>
                <w:rFonts w:cstheme="minorHAnsi"/>
                <w:bCs/>
                <w:sz w:val="20"/>
                <w:szCs w:val="20"/>
              </w:rPr>
              <w:t>Essential values of care for use with individuals in care settings</w:t>
            </w:r>
          </w:p>
        </w:tc>
        <w:tc>
          <w:tcPr>
            <w:tcW w:w="1324" w:type="pct"/>
          </w:tcPr>
          <w:p w:rsidR="008E60C6" w:rsidRDefault="008E60C6" w:rsidP="008E60C6">
            <w:pPr>
              <w:rPr>
                <w:rFonts w:cstheme="minorHAnsi"/>
                <w:color w:val="000000"/>
                <w:sz w:val="20"/>
                <w:szCs w:val="20"/>
              </w:rPr>
            </w:pPr>
            <w:r w:rsidRPr="008F04E6">
              <w:rPr>
                <w:rFonts w:cstheme="minorHAnsi"/>
                <w:color w:val="000000"/>
                <w:sz w:val="20"/>
                <w:szCs w:val="20"/>
              </w:rPr>
              <w:t xml:space="preserve">This mandatory unit focuses on the rights of individuals and will instil the values of care to be used when working in a health, social care or early </w:t>
            </w:r>
            <w:proofErr w:type="gramStart"/>
            <w:r w:rsidRPr="008F04E6">
              <w:rPr>
                <w:rFonts w:cstheme="minorHAnsi"/>
                <w:color w:val="000000"/>
                <w:sz w:val="20"/>
                <w:szCs w:val="20"/>
              </w:rPr>
              <w:t>years</w:t>
            </w:r>
            <w:proofErr w:type="gramEnd"/>
            <w:r w:rsidRPr="008F04E6">
              <w:rPr>
                <w:rFonts w:cstheme="minorHAnsi"/>
                <w:color w:val="000000"/>
                <w:sz w:val="20"/>
                <w:szCs w:val="20"/>
              </w:rPr>
              <w:t xml:space="preserve"> environment. All good practice is based on these values and enables those who use and work in care settings to apply quality practice. </w:t>
            </w:r>
          </w:p>
          <w:p w:rsidR="008E60C6" w:rsidRDefault="008E60C6" w:rsidP="008E60C6">
            <w:pPr>
              <w:rPr>
                <w:rFonts w:cstheme="minorHAnsi"/>
                <w:color w:val="000000"/>
                <w:sz w:val="20"/>
                <w:szCs w:val="20"/>
              </w:rPr>
            </w:pPr>
          </w:p>
          <w:p w:rsidR="008E60C6" w:rsidRPr="008F04E6" w:rsidRDefault="008E60C6" w:rsidP="008E60C6">
            <w:pPr>
              <w:rPr>
                <w:rFonts w:cstheme="minorHAnsi"/>
                <w:sz w:val="20"/>
                <w:szCs w:val="20"/>
              </w:rPr>
            </w:pPr>
            <w:r w:rsidRPr="008F04E6">
              <w:rPr>
                <w:rFonts w:cstheme="minorHAnsi"/>
                <w:color w:val="000000"/>
                <w:sz w:val="20"/>
                <w:szCs w:val="20"/>
              </w:rPr>
              <w:t>The unit also provides an overview of legislation and its impact on the care settings and covers the hygiene, safety and security matters that relate to promoting a healthy and safe environment.</w:t>
            </w:r>
          </w:p>
        </w:tc>
        <w:tc>
          <w:tcPr>
            <w:tcW w:w="1243" w:type="pct"/>
          </w:tcPr>
          <w:p w:rsidR="008E60C6" w:rsidRPr="008F04E6" w:rsidRDefault="008E60C6" w:rsidP="008F04E6">
            <w:pPr>
              <w:pStyle w:val="CM174"/>
              <w:spacing w:after="212" w:line="248" w:lineRule="atLeast"/>
              <w:ind w:right="105"/>
              <w:rPr>
                <w:rFonts w:asciiTheme="minorHAnsi" w:hAnsiTheme="minorHAnsi" w:cstheme="minorHAnsi"/>
                <w:color w:val="000000"/>
                <w:sz w:val="20"/>
                <w:szCs w:val="20"/>
              </w:rPr>
            </w:pPr>
            <w:r w:rsidRPr="008F04E6">
              <w:rPr>
                <w:rFonts w:asciiTheme="minorHAnsi" w:hAnsiTheme="minorHAnsi" w:cstheme="minorHAnsi"/>
                <w:color w:val="000000"/>
                <w:sz w:val="20"/>
                <w:szCs w:val="20"/>
              </w:rPr>
              <w:t xml:space="preserve">Learners will have the opportunity to apply their knowledge and understanding through the use of focused activities such as role-play, case studies and scenarios. The unit will prepare learners for the work place, enabling them to gain an understanding of how the values of care should be applied and how maintaining the rights of individuals will enable them to feel valued. </w:t>
            </w:r>
          </w:p>
          <w:p w:rsidR="008E60C6" w:rsidRPr="008F04E6" w:rsidRDefault="008E60C6" w:rsidP="008F04E6">
            <w:pPr>
              <w:rPr>
                <w:rFonts w:cstheme="minorHAnsi"/>
                <w:sz w:val="20"/>
                <w:szCs w:val="20"/>
              </w:rPr>
            </w:pPr>
            <w:r w:rsidRPr="008F04E6">
              <w:rPr>
                <w:rFonts w:cstheme="minorHAnsi"/>
                <w:sz w:val="20"/>
                <w:szCs w:val="20"/>
              </w:rPr>
              <w:t>On completion of the unit, learners will have gained an understanding of how to provide quality care for individuals, helping them to achieve their goals and how to apply the values of care so that individuals feel valued. Learners will also have gained an understanding of how regulatory frameworks aim to protect both individuals and care workers in settings and how procedures that are in place in care settings, aim to promote standards of hygiene and maintain safety and security for all who use or work within the setting.</w:t>
            </w:r>
          </w:p>
        </w:tc>
      </w:tr>
      <w:tr w:rsidR="008E60C6" w:rsidRPr="008F04E6" w:rsidTr="008E60C6">
        <w:tc>
          <w:tcPr>
            <w:tcW w:w="1203" w:type="pct"/>
          </w:tcPr>
          <w:p w:rsidR="008E60C6" w:rsidRPr="008F04E6" w:rsidRDefault="008E60C6" w:rsidP="00F8545B">
            <w:pPr>
              <w:rPr>
                <w:rFonts w:cstheme="minorHAnsi"/>
                <w:sz w:val="20"/>
                <w:szCs w:val="20"/>
              </w:rPr>
            </w:pPr>
            <w:r w:rsidRPr="008F04E6">
              <w:rPr>
                <w:rFonts w:cstheme="minorHAnsi"/>
                <w:sz w:val="20"/>
                <w:szCs w:val="20"/>
              </w:rPr>
              <w:lastRenderedPageBreak/>
              <w:t>Y10 – half term 6</w:t>
            </w:r>
          </w:p>
        </w:tc>
        <w:tc>
          <w:tcPr>
            <w:tcW w:w="1230" w:type="pct"/>
          </w:tcPr>
          <w:p w:rsidR="008E60C6" w:rsidRPr="008F04E6" w:rsidRDefault="008E60C6" w:rsidP="00F8545B">
            <w:pPr>
              <w:rPr>
                <w:rFonts w:cstheme="minorHAnsi"/>
                <w:sz w:val="20"/>
                <w:szCs w:val="20"/>
              </w:rPr>
            </w:pPr>
            <w:r>
              <w:rPr>
                <w:rFonts w:cstheme="minorHAnsi"/>
                <w:sz w:val="20"/>
                <w:szCs w:val="20"/>
              </w:rPr>
              <w:t>RO23</w:t>
            </w:r>
            <w:r>
              <w:rPr>
                <w:b/>
                <w:bCs/>
              </w:rPr>
              <w:t xml:space="preserve"> </w:t>
            </w:r>
            <w:r w:rsidRPr="00A70F1E">
              <w:rPr>
                <w:bCs/>
                <w:sz w:val="20"/>
                <w:szCs w:val="20"/>
              </w:rPr>
              <w:t>Understanding body systems and disorders</w:t>
            </w:r>
          </w:p>
        </w:tc>
        <w:tc>
          <w:tcPr>
            <w:tcW w:w="1324" w:type="pct"/>
          </w:tcPr>
          <w:p w:rsidR="008E60C6" w:rsidRPr="008F04E6" w:rsidRDefault="008E60C6" w:rsidP="00A70F1E">
            <w:pPr>
              <w:rPr>
                <w:rFonts w:cstheme="minorHAnsi"/>
                <w:sz w:val="20"/>
                <w:szCs w:val="20"/>
              </w:rPr>
            </w:pPr>
            <w:r>
              <w:rPr>
                <w:color w:val="000000"/>
              </w:rPr>
              <w:t>This unit will provide learners with the underpinning knowledge and understanding of three major body systems: respiratory, digestive and cardiovascular.</w:t>
            </w:r>
          </w:p>
        </w:tc>
        <w:tc>
          <w:tcPr>
            <w:tcW w:w="1243" w:type="pct"/>
          </w:tcPr>
          <w:p w:rsidR="008E60C6" w:rsidRPr="00A70F1E" w:rsidRDefault="008E60C6" w:rsidP="00A70F1E">
            <w:pPr>
              <w:rPr>
                <w:sz w:val="20"/>
                <w:szCs w:val="20"/>
              </w:rPr>
            </w:pPr>
            <w:r w:rsidRPr="00A70F1E">
              <w:rPr>
                <w:sz w:val="20"/>
                <w:szCs w:val="20"/>
              </w:rPr>
              <w:t xml:space="preserve">Through this unit learners will have gained the knowledge and understanding of the structure and function of three body systems and three separate illnesses that may affect these systems. </w:t>
            </w:r>
          </w:p>
          <w:p w:rsidR="008E60C6" w:rsidRPr="00A70F1E" w:rsidRDefault="008E60C6" w:rsidP="00A70F1E">
            <w:pPr>
              <w:rPr>
                <w:sz w:val="20"/>
                <w:szCs w:val="20"/>
              </w:rPr>
            </w:pPr>
            <w:r w:rsidRPr="00A70F1E">
              <w:rPr>
                <w:sz w:val="20"/>
                <w:szCs w:val="20"/>
              </w:rPr>
              <w:t xml:space="preserve">On completion of this unit learners will have developed their knowledge and understanding of the importance of the systems, structure, function and disorders that can affect the individual within health, social care and early </w:t>
            </w:r>
            <w:proofErr w:type="gramStart"/>
            <w:r w:rsidRPr="00A70F1E">
              <w:rPr>
                <w:sz w:val="20"/>
                <w:szCs w:val="20"/>
              </w:rPr>
              <w:t>years</w:t>
            </w:r>
            <w:proofErr w:type="gramEnd"/>
            <w:r w:rsidRPr="00A70F1E">
              <w:rPr>
                <w:sz w:val="20"/>
                <w:szCs w:val="20"/>
              </w:rPr>
              <w:t xml:space="preserve"> settings. They will be able to measure and interpret data obtained from various relevant body functions.</w:t>
            </w:r>
          </w:p>
        </w:tc>
      </w:tr>
    </w:tbl>
    <w:p w:rsidR="00CC3664" w:rsidRPr="008F04E6" w:rsidRDefault="00CC3664" w:rsidP="00CC3664">
      <w:pPr>
        <w:rPr>
          <w:rFonts w:cstheme="minorHAnsi"/>
          <w:sz w:val="20"/>
          <w:szCs w:val="20"/>
        </w:rPr>
      </w:pPr>
    </w:p>
    <w:p w:rsidR="00CC3664" w:rsidRPr="008F04E6" w:rsidRDefault="00CC3664" w:rsidP="00CC3664">
      <w:pPr>
        <w:rPr>
          <w:rFonts w:cstheme="minorHAnsi"/>
          <w:sz w:val="20"/>
          <w:szCs w:val="20"/>
        </w:rPr>
      </w:pPr>
    </w:p>
    <w:p w:rsidR="00375832" w:rsidRPr="008F04E6" w:rsidRDefault="00375832">
      <w:pPr>
        <w:rPr>
          <w:rFonts w:cstheme="minorHAnsi"/>
          <w:sz w:val="20"/>
          <w:szCs w:val="20"/>
        </w:rPr>
      </w:pPr>
    </w:p>
    <w:sectPr w:rsidR="00375832" w:rsidRPr="008F04E6" w:rsidSect="00CC366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C1EE6"/>
    <w:multiLevelType w:val="hybridMultilevel"/>
    <w:tmpl w:val="0C78C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6B13D8"/>
    <w:multiLevelType w:val="hybridMultilevel"/>
    <w:tmpl w:val="E7D2E2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2E2432B"/>
    <w:multiLevelType w:val="hybridMultilevel"/>
    <w:tmpl w:val="2C449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E7076A"/>
    <w:multiLevelType w:val="hybridMultilevel"/>
    <w:tmpl w:val="3B687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A723E1"/>
    <w:multiLevelType w:val="hybridMultilevel"/>
    <w:tmpl w:val="692E8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A827DFD"/>
    <w:multiLevelType w:val="hybridMultilevel"/>
    <w:tmpl w:val="2B1EA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D12632"/>
    <w:multiLevelType w:val="hybridMultilevel"/>
    <w:tmpl w:val="20640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E740029"/>
    <w:multiLevelType w:val="hybridMultilevel"/>
    <w:tmpl w:val="B4DE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64"/>
    <w:rsid w:val="00045028"/>
    <w:rsid w:val="001021B9"/>
    <w:rsid w:val="001E7EB5"/>
    <w:rsid w:val="00375832"/>
    <w:rsid w:val="005170EE"/>
    <w:rsid w:val="0055325F"/>
    <w:rsid w:val="00582B8D"/>
    <w:rsid w:val="006730A8"/>
    <w:rsid w:val="00697701"/>
    <w:rsid w:val="007E44A8"/>
    <w:rsid w:val="00865D63"/>
    <w:rsid w:val="008E60C6"/>
    <w:rsid w:val="008F04E6"/>
    <w:rsid w:val="009407F2"/>
    <w:rsid w:val="009C5399"/>
    <w:rsid w:val="00A62D3C"/>
    <w:rsid w:val="00A70F1E"/>
    <w:rsid w:val="00B70A7E"/>
    <w:rsid w:val="00CC3664"/>
    <w:rsid w:val="00E70874"/>
    <w:rsid w:val="00EE7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ADFA2-9A46-4934-9F2E-F30871FB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664"/>
    <w:pPr>
      <w:ind w:left="720"/>
      <w:contextualSpacing/>
    </w:pPr>
  </w:style>
  <w:style w:type="paragraph" w:customStyle="1" w:styleId="Default">
    <w:name w:val="Default"/>
    <w:rsid w:val="008F04E6"/>
    <w:pPr>
      <w:autoSpaceDE w:val="0"/>
      <w:autoSpaceDN w:val="0"/>
      <w:adjustRightInd w:val="0"/>
      <w:spacing w:after="0" w:line="240" w:lineRule="auto"/>
    </w:pPr>
    <w:rPr>
      <w:rFonts w:ascii="Arial" w:hAnsi="Arial" w:cs="Arial"/>
      <w:color w:val="000000"/>
      <w:sz w:val="24"/>
      <w:szCs w:val="24"/>
    </w:rPr>
  </w:style>
  <w:style w:type="paragraph" w:customStyle="1" w:styleId="CM174">
    <w:name w:val="CM174"/>
    <w:basedOn w:val="Default"/>
    <w:next w:val="Default"/>
    <w:uiPriority w:val="99"/>
    <w:rsid w:val="008F04E6"/>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 Jordinson</dc:creator>
  <cp:keywords/>
  <dc:description/>
  <cp:lastModifiedBy>Miss A Jordinson</cp:lastModifiedBy>
  <cp:revision>2</cp:revision>
  <dcterms:created xsi:type="dcterms:W3CDTF">2020-01-09T15:40:00Z</dcterms:created>
  <dcterms:modified xsi:type="dcterms:W3CDTF">2020-01-09T15:40:00Z</dcterms:modified>
</cp:coreProperties>
</file>