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9" w:rsidRDefault="00101199">
      <w:r>
        <w:t>Financial statement re: catch up funding</w:t>
      </w:r>
    </w:p>
    <w:p w:rsidR="004D56D7" w:rsidRDefault="00101199" w:rsidP="004D56D7">
      <w:r>
        <w:t xml:space="preserve">Funding allocated - </w:t>
      </w:r>
      <w:r w:rsidR="003A580E">
        <w:rPr>
          <w:rFonts w:eastAsia="Times New Roman" w:cs="Arial"/>
          <w:b/>
          <w:color w:val="0D0D0D"/>
          <w:sz w:val="18"/>
          <w:szCs w:val="18"/>
          <w:lang w:eastAsia="en-GB"/>
        </w:rPr>
        <w:t>£15,000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FA2CD3" w:rsidRPr="00AA7A18" w:rsidTr="00FA2CD3"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A2CD3" w:rsidRPr="003E0822" w:rsidRDefault="00FA2CD3" w:rsidP="003E08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Year 7 intake</w:t>
            </w:r>
          </w:p>
        </w:tc>
      </w:tr>
      <w:tr w:rsidR="00FA2CD3" w:rsidRPr="00914540" w:rsidTr="00FA2CD3">
        <w:trPr>
          <w:trHeight w:val="299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FA2CD3" w:rsidRPr="00FA2CD3" w:rsidRDefault="00C0687F" w:rsidP="00FA2CD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year 7 intake has 46</w:t>
            </w:r>
            <w:r w:rsidR="00FA2CD3" w:rsidRPr="00FA2CD3">
              <w:rPr>
                <w:rFonts w:ascii="Calibri" w:hAnsi="Calibri"/>
                <w:color w:val="000000"/>
              </w:rPr>
              <w:t xml:space="preserve"> students with an average KS2 scaled score of &lt;100</w:t>
            </w:r>
          </w:p>
        </w:tc>
      </w:tr>
      <w:tr w:rsidR="00FA2CD3" w:rsidRPr="00914540" w:rsidTr="00FA2CD3"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FA2CD3" w:rsidRPr="00FA2CD3" w:rsidRDefault="00AC3D71" w:rsidP="00FA2CD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="00FA2CD3" w:rsidRPr="00FA2CD3">
              <w:rPr>
                <w:rFonts w:ascii="Calibri" w:hAnsi="Calibri"/>
                <w:color w:val="000000"/>
                <w:sz w:val="20"/>
                <w:szCs w:val="20"/>
              </w:rPr>
              <w:t xml:space="preserve"> students have a grammar score of &lt;100</w:t>
            </w:r>
          </w:p>
        </w:tc>
      </w:tr>
      <w:tr w:rsidR="00FA2CD3" w:rsidRPr="00914540" w:rsidTr="00FA2CD3"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FA2CD3" w:rsidRPr="00FA2CD3" w:rsidRDefault="00FA2CD3" w:rsidP="00AC3D7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2CD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3D7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FA2CD3">
              <w:rPr>
                <w:rFonts w:ascii="Calibri" w:hAnsi="Calibri"/>
                <w:color w:val="000000"/>
                <w:sz w:val="20"/>
                <w:szCs w:val="20"/>
              </w:rPr>
              <w:t xml:space="preserve"> students have a maths score of &lt;100</w:t>
            </w:r>
          </w:p>
        </w:tc>
      </w:tr>
      <w:tr w:rsidR="00FA2CD3" w:rsidRPr="00914540" w:rsidTr="00FA2CD3"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FA2CD3" w:rsidRPr="00FA2CD3" w:rsidRDefault="00FA2CD3" w:rsidP="00FA2CD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2CD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AC3D7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FA2CD3">
              <w:rPr>
                <w:rFonts w:ascii="Calibri" w:hAnsi="Calibri"/>
                <w:color w:val="000000"/>
                <w:sz w:val="20"/>
                <w:szCs w:val="20"/>
              </w:rPr>
              <w:t xml:space="preserve"> students have a reading score of &lt;100</w:t>
            </w:r>
          </w:p>
        </w:tc>
      </w:tr>
    </w:tbl>
    <w:p w:rsidR="003E0822" w:rsidRDefault="003E0822" w:rsidP="003E0822">
      <w:pPr>
        <w:tabs>
          <w:tab w:val="left" w:pos="-709"/>
        </w:tabs>
        <w:ind w:left="-709"/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4"/>
        <w:gridCol w:w="2453"/>
        <w:gridCol w:w="2007"/>
        <w:gridCol w:w="2614"/>
        <w:gridCol w:w="2089"/>
        <w:gridCol w:w="2271"/>
      </w:tblGrid>
      <w:tr w:rsidR="00C7134C" w:rsidTr="00C7134C">
        <w:tc>
          <w:tcPr>
            <w:tcW w:w="901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Action</w:t>
            </w:r>
          </w:p>
        </w:tc>
        <w:tc>
          <w:tcPr>
            <w:tcW w:w="87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Intended impact</w:t>
            </w: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Timescale</w:t>
            </w: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Staff</w:t>
            </w:r>
          </w:p>
        </w:tc>
        <w:tc>
          <w:tcPr>
            <w:tcW w:w="74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Cost</w:t>
            </w:r>
          </w:p>
        </w:tc>
        <w:tc>
          <w:tcPr>
            <w:tcW w:w="814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Review date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 xml:space="preserve">Students are </w:t>
            </w:r>
            <w:proofErr w:type="spellStart"/>
            <w:r>
              <w:t>setted</w:t>
            </w:r>
            <w:proofErr w:type="spellEnd"/>
            <w:r>
              <w:t xml:space="preserve"> based on their individual English and Maths score.</w:t>
            </w:r>
          </w:p>
          <w:p w:rsidR="00C7134C" w:rsidRDefault="00C7134C" w:rsidP="004D56D7">
            <w:pPr>
              <w:tabs>
                <w:tab w:val="left" w:pos="-709"/>
              </w:tabs>
            </w:pPr>
          </w:p>
        </w:tc>
        <w:tc>
          <w:tcPr>
            <w:tcW w:w="879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>Students are allocated to groups where the curriculum can be specifically tailored to support catch up work.</w:t>
            </w:r>
          </w:p>
        </w:tc>
        <w:tc>
          <w:tcPr>
            <w:tcW w:w="719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>July ‘19 ready for September</w:t>
            </w:r>
          </w:p>
        </w:tc>
        <w:tc>
          <w:tcPr>
            <w:tcW w:w="937" w:type="pct"/>
          </w:tcPr>
          <w:p w:rsidR="00C7134C" w:rsidRDefault="00C7134C" w:rsidP="00C0687F">
            <w:pPr>
              <w:tabs>
                <w:tab w:val="left" w:pos="-709"/>
              </w:tabs>
              <w:jc w:val="both"/>
            </w:pPr>
            <w:r>
              <w:t>AJN /MAS /JMS /APY</w:t>
            </w:r>
          </w:p>
        </w:tc>
        <w:tc>
          <w:tcPr>
            <w:tcW w:w="74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-</w:t>
            </w:r>
          </w:p>
        </w:tc>
        <w:tc>
          <w:tcPr>
            <w:tcW w:w="814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>Setting of year 7 will be reviewed in Dec ’19 based on their progress in the Autumn term</w:t>
            </w:r>
          </w:p>
        </w:tc>
      </w:tr>
      <w:tr w:rsidR="00C7134C" w:rsidTr="00C7134C">
        <w:trPr>
          <w:trHeight w:val="1793"/>
        </w:trPr>
        <w:tc>
          <w:tcPr>
            <w:tcW w:w="901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>Summer school</w:t>
            </w:r>
          </w:p>
        </w:tc>
        <w:tc>
          <w:tcPr>
            <w:tcW w:w="879" w:type="pct"/>
          </w:tcPr>
          <w:p w:rsidR="00C7134C" w:rsidRDefault="00C7134C" w:rsidP="00AC3D71">
            <w:r>
              <w:rPr>
                <w:rFonts w:ascii="Calibri" w:hAnsi="Calibri"/>
                <w:color w:val="000000"/>
              </w:rPr>
              <w:t xml:space="preserve">To increase the progress of catch-up students when compared with their </w:t>
            </w:r>
            <w:proofErr w:type="spellStart"/>
            <w:r>
              <w:rPr>
                <w:rFonts w:ascii="Calibri" w:hAnsi="Calibri"/>
                <w:color w:val="000000"/>
              </w:rPr>
              <w:t>non catch-up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peers. </w:t>
            </w: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Summer school completed August 2019</w:t>
            </w: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 xml:space="preserve">EHT </w:t>
            </w:r>
          </w:p>
        </w:tc>
        <w:tc>
          <w:tcPr>
            <w:tcW w:w="749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>£1500; Printing £10</w:t>
            </w:r>
          </w:p>
        </w:tc>
        <w:tc>
          <w:tcPr>
            <w:tcW w:w="814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>Progress of students who attended will be monitored at each PA point – Dec’19 first PA point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 xml:space="preserve">Baseline assessment of students </w:t>
            </w:r>
          </w:p>
        </w:tc>
        <w:tc>
          <w:tcPr>
            <w:tcW w:w="879" w:type="pct"/>
          </w:tcPr>
          <w:p w:rsidR="00C7134C" w:rsidRDefault="00C7134C" w:rsidP="00AC3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 students to complete the CAT tests; further test through LASS + EXACT if required. </w:t>
            </w:r>
          </w:p>
        </w:tc>
        <w:tc>
          <w:tcPr>
            <w:tcW w:w="719" w:type="pct"/>
          </w:tcPr>
          <w:p w:rsidR="00C7134C" w:rsidRDefault="00C7134C" w:rsidP="00874F7B">
            <w:pPr>
              <w:tabs>
                <w:tab w:val="left" w:pos="-709"/>
              </w:tabs>
            </w:pPr>
            <w:r>
              <w:t>Autumn half term 1</w:t>
            </w: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AJN</w:t>
            </w:r>
          </w:p>
        </w:tc>
        <w:tc>
          <w:tcPr>
            <w:tcW w:w="749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>£550</w:t>
            </w:r>
          </w:p>
        </w:tc>
        <w:tc>
          <w:tcPr>
            <w:tcW w:w="814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 xml:space="preserve">AJN + JDN met to discuss next steps.  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>Students with a reading score of 90 and below</w:t>
            </w:r>
          </w:p>
          <w:p w:rsidR="00C7134C" w:rsidRDefault="00C7134C" w:rsidP="004D56D7">
            <w:pPr>
              <w:tabs>
                <w:tab w:val="left" w:pos="-709"/>
              </w:tabs>
            </w:pPr>
          </w:p>
        </w:tc>
        <w:tc>
          <w:tcPr>
            <w:tcW w:w="879" w:type="pct"/>
          </w:tcPr>
          <w:p w:rsidR="00C7134C" w:rsidRDefault="00C7134C" w:rsidP="00260E12">
            <w:pPr>
              <w:tabs>
                <w:tab w:val="left" w:pos="-709"/>
              </w:tabs>
            </w:pPr>
            <w:r>
              <w:t xml:space="preserve">Students </w:t>
            </w:r>
            <w:proofErr w:type="spellStart"/>
            <w:r>
              <w:t>setted</w:t>
            </w:r>
            <w:proofErr w:type="spellEnd"/>
            <w:r>
              <w:t xml:space="preserve"> together so class teacher can tailor the curriculum specifically to their needs.  HLTA support used to work with individuals within in the class</w:t>
            </w: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MAS /RPN /HHH</w:t>
            </w:r>
          </w:p>
        </w:tc>
        <w:tc>
          <w:tcPr>
            <w:tcW w:w="749" w:type="pct"/>
          </w:tcPr>
          <w:p w:rsidR="00C7134C" w:rsidRDefault="00C7134C" w:rsidP="00B76E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Contribution to HLTA costs - £3705</w:t>
            </w:r>
          </w:p>
          <w:p w:rsidR="00C7134C" w:rsidRDefault="00C7134C" w:rsidP="00FA2CD3">
            <w:pPr>
              <w:tabs>
                <w:tab w:val="left" w:pos="-709"/>
              </w:tabs>
              <w:jc w:val="both"/>
            </w:pPr>
          </w:p>
        </w:tc>
        <w:tc>
          <w:tcPr>
            <w:tcW w:w="814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Every half term</w:t>
            </w:r>
          </w:p>
          <w:p w:rsidR="00C7134C" w:rsidRDefault="00C7134C" w:rsidP="00FA2CD3">
            <w:pPr>
              <w:tabs>
                <w:tab w:val="left" w:pos="-709"/>
              </w:tabs>
              <w:jc w:val="both"/>
            </w:pPr>
          </w:p>
        </w:tc>
      </w:tr>
      <w:tr w:rsidR="00C7134C" w:rsidTr="00C7134C">
        <w:tc>
          <w:tcPr>
            <w:tcW w:w="901" w:type="pct"/>
          </w:tcPr>
          <w:p w:rsidR="00C7134C" w:rsidRDefault="00C7134C" w:rsidP="00C0687F">
            <w:pPr>
              <w:tabs>
                <w:tab w:val="left" w:pos="-709"/>
              </w:tabs>
            </w:pPr>
            <w:r>
              <w:t xml:space="preserve">Students of 73A to spend time each day to work on </w:t>
            </w:r>
            <w:proofErr w:type="spellStart"/>
            <w:r>
              <w:t>Lexia</w:t>
            </w:r>
            <w:proofErr w:type="spellEnd"/>
            <w:r>
              <w:t xml:space="preserve"> – setting of literacy block and science sets adjusted to accommodate this.</w:t>
            </w:r>
          </w:p>
        </w:tc>
        <w:tc>
          <w:tcPr>
            <w:tcW w:w="879" w:type="pct"/>
          </w:tcPr>
          <w:p w:rsidR="00C7134C" w:rsidRDefault="00C7134C" w:rsidP="00E67F8D">
            <w:pPr>
              <w:tabs>
                <w:tab w:val="left" w:pos="-709"/>
              </w:tabs>
            </w:pPr>
            <w:proofErr w:type="spellStart"/>
            <w:r>
              <w:t>Lexia</w:t>
            </w:r>
            <w:proofErr w:type="spellEnd"/>
            <w:r>
              <w:t xml:space="preserve"> works on word study, grammar and comprehension – the programme automatically moves students on when they reach the next level</w:t>
            </w:r>
          </w:p>
        </w:tc>
        <w:tc>
          <w:tcPr>
            <w:tcW w:w="719" w:type="pct"/>
          </w:tcPr>
          <w:p w:rsidR="00C7134C" w:rsidRDefault="00C7134C" w:rsidP="00C0687F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B76E6B">
            <w:pPr>
              <w:tabs>
                <w:tab w:val="left" w:pos="-709"/>
              </w:tabs>
            </w:pPr>
            <w:r>
              <w:t>HHH – 73A class teachers</w:t>
            </w:r>
          </w:p>
        </w:tc>
        <w:tc>
          <w:tcPr>
            <w:tcW w:w="749" w:type="pct"/>
          </w:tcPr>
          <w:p w:rsidR="00C7134C" w:rsidRDefault="00C7134C" w:rsidP="00C0687F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Lexia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£1,950</w:t>
            </w:r>
          </w:p>
          <w:p w:rsidR="00C7134C" w:rsidRDefault="00C7134C" w:rsidP="00874F7B">
            <w:pPr>
              <w:jc w:val="both"/>
            </w:pPr>
          </w:p>
        </w:tc>
        <w:tc>
          <w:tcPr>
            <w:tcW w:w="814" w:type="pct"/>
          </w:tcPr>
          <w:p w:rsidR="00C7134C" w:rsidRDefault="00C7134C" w:rsidP="00260E12">
            <w:pPr>
              <w:tabs>
                <w:tab w:val="left" w:pos="-709"/>
              </w:tabs>
            </w:pPr>
            <w:r>
              <w:t>Review Jan ’20 – make a decision whether to carry on or allocate different students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4D56D7">
            <w:pPr>
              <w:tabs>
                <w:tab w:val="left" w:pos="-709"/>
              </w:tabs>
            </w:pPr>
            <w:r>
              <w:t>Accelerated reader</w:t>
            </w:r>
          </w:p>
        </w:tc>
        <w:tc>
          <w:tcPr>
            <w:tcW w:w="879" w:type="pct"/>
          </w:tcPr>
          <w:p w:rsidR="00C7134C" w:rsidRDefault="00C7134C" w:rsidP="000F7502">
            <w:pPr>
              <w:tabs>
                <w:tab w:val="left" w:pos="-709"/>
              </w:tabs>
            </w:pPr>
            <w:r>
              <w:t>All students in year 7 will be working through accelerated reader in dedicated library lessons once/ fortnight</w:t>
            </w: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E67F8D">
            <w:pPr>
              <w:tabs>
                <w:tab w:val="left" w:pos="-709"/>
              </w:tabs>
            </w:pPr>
            <w:r>
              <w:t>MAS – all English teachers</w:t>
            </w:r>
          </w:p>
        </w:tc>
        <w:tc>
          <w:tcPr>
            <w:tcW w:w="749" w:type="pct"/>
          </w:tcPr>
          <w:p w:rsidR="00C7134C" w:rsidRDefault="00C7134C" w:rsidP="00C713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Accelerated reader programme – £2000 contribution</w:t>
            </w:r>
          </w:p>
        </w:tc>
        <w:tc>
          <w:tcPr>
            <w:tcW w:w="814" w:type="pct"/>
          </w:tcPr>
          <w:p w:rsidR="00C7134C" w:rsidRDefault="00C7134C" w:rsidP="00260E12">
            <w:pPr>
              <w:tabs>
                <w:tab w:val="left" w:pos="-709"/>
              </w:tabs>
            </w:pPr>
            <w:r>
              <w:t>Programme tests students 3 times/ year – first progress review Dec ’19; Review use of programme Jun ‘20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D956E5">
            <w:pPr>
              <w:tabs>
                <w:tab w:val="left" w:pos="-709"/>
              </w:tabs>
            </w:pPr>
            <w:r>
              <w:t xml:space="preserve">Year 8 continued intervention (83A) – students are receiving 3 session/ week working on the </w:t>
            </w:r>
            <w:proofErr w:type="spellStart"/>
            <w:r>
              <w:t>Lexia</w:t>
            </w:r>
            <w:proofErr w:type="spellEnd"/>
            <w:r>
              <w:t xml:space="preserve"> programme</w:t>
            </w:r>
          </w:p>
        </w:tc>
        <w:tc>
          <w:tcPr>
            <w:tcW w:w="879" w:type="pct"/>
          </w:tcPr>
          <w:p w:rsidR="00C7134C" w:rsidRDefault="00C7134C" w:rsidP="00D956E5">
            <w:pPr>
              <w:tabs>
                <w:tab w:val="left" w:pos="-709"/>
              </w:tabs>
            </w:pPr>
            <w:proofErr w:type="spellStart"/>
            <w:r>
              <w:t>Lexia</w:t>
            </w:r>
            <w:proofErr w:type="spellEnd"/>
            <w:r>
              <w:t xml:space="preserve"> works on word study, grammar and comprehension – the programme automatically moved students on when they reach the next level</w:t>
            </w:r>
          </w:p>
        </w:tc>
        <w:tc>
          <w:tcPr>
            <w:tcW w:w="719" w:type="pct"/>
          </w:tcPr>
          <w:p w:rsidR="00C7134C" w:rsidRDefault="00C7134C" w:rsidP="00D956E5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D956E5">
            <w:pPr>
              <w:tabs>
                <w:tab w:val="left" w:pos="-709"/>
              </w:tabs>
              <w:jc w:val="both"/>
            </w:pPr>
            <w:r>
              <w:t>HHH</w:t>
            </w:r>
          </w:p>
        </w:tc>
        <w:tc>
          <w:tcPr>
            <w:tcW w:w="749" w:type="pct"/>
          </w:tcPr>
          <w:p w:rsidR="00C7134C" w:rsidRDefault="00C7134C" w:rsidP="00874F7B">
            <w:pPr>
              <w:tabs>
                <w:tab w:val="left" w:pos="-709"/>
              </w:tabs>
            </w:pPr>
            <w:r>
              <w:t>Contribution to HLTA costs - £741</w:t>
            </w:r>
          </w:p>
        </w:tc>
        <w:tc>
          <w:tcPr>
            <w:tcW w:w="814" w:type="pct"/>
          </w:tcPr>
          <w:p w:rsidR="00C7134C" w:rsidRDefault="00C7134C" w:rsidP="00D956E5">
            <w:pPr>
              <w:tabs>
                <w:tab w:val="left" w:pos="-709"/>
              </w:tabs>
            </w:pPr>
            <w:r>
              <w:t>Sessions reviewed every 4 weeks by HHH; Review Impact Dec ‘20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7B5AF7">
            <w:pPr>
              <w:tabs>
                <w:tab w:val="left" w:pos="-709"/>
              </w:tabs>
            </w:pPr>
            <w:r>
              <w:t>Year 9 continued intervention – all students completing EXACT testing to review reading ages and comprehension</w:t>
            </w:r>
          </w:p>
        </w:tc>
        <w:tc>
          <w:tcPr>
            <w:tcW w:w="879" w:type="pct"/>
          </w:tcPr>
          <w:p w:rsidR="00C7134C" w:rsidRDefault="00C7134C" w:rsidP="007B5AF7">
            <w:pPr>
              <w:tabs>
                <w:tab w:val="left" w:pos="-709"/>
              </w:tabs>
            </w:pPr>
            <w:r>
              <w:t>Identify students who are still not making sufficient progress in reading</w:t>
            </w:r>
          </w:p>
        </w:tc>
        <w:tc>
          <w:tcPr>
            <w:tcW w:w="719" w:type="pct"/>
          </w:tcPr>
          <w:p w:rsidR="00C7134C" w:rsidRDefault="00C7134C" w:rsidP="007B5AF7">
            <w:pPr>
              <w:tabs>
                <w:tab w:val="left" w:pos="-709"/>
              </w:tabs>
              <w:jc w:val="both"/>
            </w:pPr>
            <w:r>
              <w:t>Autumn term</w:t>
            </w:r>
          </w:p>
        </w:tc>
        <w:tc>
          <w:tcPr>
            <w:tcW w:w="937" w:type="pct"/>
          </w:tcPr>
          <w:p w:rsidR="00C7134C" w:rsidRDefault="00C7134C" w:rsidP="007B5AF7">
            <w:pPr>
              <w:tabs>
                <w:tab w:val="left" w:pos="-709"/>
              </w:tabs>
              <w:jc w:val="both"/>
            </w:pPr>
            <w:r>
              <w:t>HHH /DMN / AJN</w:t>
            </w:r>
          </w:p>
        </w:tc>
        <w:tc>
          <w:tcPr>
            <w:tcW w:w="749" w:type="pct"/>
          </w:tcPr>
          <w:p w:rsidR="00C7134C" w:rsidRDefault="00C7134C" w:rsidP="00E67F8D">
            <w:pPr>
              <w:tabs>
                <w:tab w:val="left" w:pos="-709"/>
              </w:tabs>
            </w:pPr>
            <w:r>
              <w:t>Contribution to HLTA costs - £1482</w:t>
            </w:r>
          </w:p>
        </w:tc>
        <w:tc>
          <w:tcPr>
            <w:tcW w:w="814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Dec ’20 – DMN and AJN to meet to plan next steps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Small group work with students with a maths score of 90&lt;100</w:t>
            </w:r>
          </w:p>
          <w:p w:rsidR="00C7134C" w:rsidRDefault="00C7134C" w:rsidP="003A580E">
            <w:pPr>
              <w:tabs>
                <w:tab w:val="left" w:pos="-709"/>
              </w:tabs>
            </w:pPr>
          </w:p>
        </w:tc>
        <w:tc>
          <w:tcPr>
            <w:tcW w:w="879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Students will be taken out of maths lessons in 2 groups by the maths HLTA.  The HLTA will work specific topics identified from QLA of the SATs papers whilst also maintaining the curriculum</w:t>
            </w:r>
          </w:p>
        </w:tc>
        <w:tc>
          <w:tcPr>
            <w:tcW w:w="719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LWL</w:t>
            </w:r>
          </w:p>
        </w:tc>
        <w:tc>
          <w:tcPr>
            <w:tcW w:w="749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Contribution to HLTA costs - £3705</w:t>
            </w:r>
          </w:p>
        </w:tc>
        <w:tc>
          <w:tcPr>
            <w:tcW w:w="814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Half termly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Maths specific setting – 73A</w:t>
            </w:r>
          </w:p>
        </w:tc>
        <w:tc>
          <w:tcPr>
            <w:tcW w:w="879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73A will be following a split curriculum using data from the QLA of the SATS to identify skills gaps.  Lessons will be delivered to narrow these skills gaps whilst also working through the year 7 curriculum</w:t>
            </w:r>
          </w:p>
        </w:tc>
        <w:tc>
          <w:tcPr>
            <w:tcW w:w="719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LPS</w:t>
            </w:r>
          </w:p>
        </w:tc>
        <w:tc>
          <w:tcPr>
            <w:tcW w:w="749" w:type="pct"/>
          </w:tcPr>
          <w:p w:rsidR="00C7134C" w:rsidRDefault="00C7134C" w:rsidP="003A580E">
            <w:pPr>
              <w:tabs>
                <w:tab w:val="left" w:pos="-709"/>
              </w:tabs>
            </w:pPr>
            <w:r>
              <w:t>-</w:t>
            </w:r>
          </w:p>
        </w:tc>
        <w:tc>
          <w:tcPr>
            <w:tcW w:w="814" w:type="pct"/>
          </w:tcPr>
          <w:p w:rsidR="00C7134C" w:rsidRDefault="00C7134C" w:rsidP="003A580E">
            <w:pPr>
              <w:tabs>
                <w:tab w:val="left" w:pos="-709"/>
              </w:tabs>
              <w:jc w:val="both"/>
            </w:pPr>
            <w:r>
              <w:t>Oct ‘20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AB41C8">
            <w:pPr>
              <w:tabs>
                <w:tab w:val="left" w:pos="-709"/>
              </w:tabs>
            </w:pPr>
            <w:r>
              <w:t xml:space="preserve">Purchase of </w:t>
            </w:r>
            <w:proofErr w:type="spellStart"/>
            <w:r>
              <w:t>Hegarty</w:t>
            </w:r>
            <w:proofErr w:type="spellEnd"/>
            <w:r>
              <w:t xml:space="preserve"> maths: contribution to purchase of renaissance star maths</w:t>
            </w:r>
          </w:p>
        </w:tc>
        <w:tc>
          <w:tcPr>
            <w:tcW w:w="879" w:type="pct"/>
          </w:tcPr>
          <w:p w:rsidR="00C7134C" w:rsidRDefault="00C7134C" w:rsidP="00D956E5">
            <w:pPr>
              <w:tabs>
                <w:tab w:val="left" w:pos="-709"/>
              </w:tabs>
            </w:pPr>
            <w:r>
              <w:t>Programmes used in maths to support catch up work</w:t>
            </w: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All year</w:t>
            </w: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JMS</w:t>
            </w:r>
          </w:p>
        </w:tc>
        <w:tc>
          <w:tcPr>
            <w:tcW w:w="749" w:type="pct"/>
          </w:tcPr>
          <w:p w:rsidR="00C7134C" w:rsidRDefault="00C7134C" w:rsidP="00D956E5">
            <w:pPr>
              <w:tabs>
                <w:tab w:val="left" w:pos="-709"/>
              </w:tabs>
            </w:pPr>
            <w:r>
              <w:t>£1200: £218</w:t>
            </w:r>
          </w:p>
        </w:tc>
        <w:tc>
          <w:tcPr>
            <w:tcW w:w="814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  <w:r>
              <w:t>Review Jun ‘20</w:t>
            </w:r>
          </w:p>
        </w:tc>
      </w:tr>
      <w:tr w:rsidR="00C7134C" w:rsidTr="00C7134C">
        <w:tc>
          <w:tcPr>
            <w:tcW w:w="901" w:type="pct"/>
          </w:tcPr>
          <w:p w:rsidR="00C7134C" w:rsidRDefault="00C7134C" w:rsidP="00AB41C8">
            <w:pPr>
              <w:tabs>
                <w:tab w:val="left" w:pos="-709"/>
              </w:tabs>
            </w:pPr>
          </w:p>
        </w:tc>
        <w:tc>
          <w:tcPr>
            <w:tcW w:w="879" w:type="pct"/>
          </w:tcPr>
          <w:p w:rsidR="00C7134C" w:rsidRDefault="00C7134C" w:rsidP="00D956E5">
            <w:pPr>
              <w:tabs>
                <w:tab w:val="left" w:pos="-709"/>
              </w:tabs>
            </w:pPr>
          </w:p>
        </w:tc>
        <w:tc>
          <w:tcPr>
            <w:tcW w:w="719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</w:p>
        </w:tc>
        <w:tc>
          <w:tcPr>
            <w:tcW w:w="937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</w:p>
        </w:tc>
        <w:tc>
          <w:tcPr>
            <w:tcW w:w="749" w:type="pct"/>
          </w:tcPr>
          <w:p w:rsidR="00C7134C" w:rsidRDefault="00C7134C" w:rsidP="00D956E5">
            <w:pPr>
              <w:tabs>
                <w:tab w:val="left" w:pos="-709"/>
              </w:tabs>
            </w:pPr>
          </w:p>
        </w:tc>
        <w:tc>
          <w:tcPr>
            <w:tcW w:w="814" w:type="pct"/>
          </w:tcPr>
          <w:p w:rsidR="00C7134C" w:rsidRDefault="00C7134C" w:rsidP="00FA2CD3">
            <w:pPr>
              <w:tabs>
                <w:tab w:val="left" w:pos="-709"/>
              </w:tabs>
              <w:jc w:val="both"/>
            </w:pPr>
          </w:p>
        </w:tc>
      </w:tr>
    </w:tbl>
    <w:p w:rsidR="003E0822" w:rsidRDefault="003E0822" w:rsidP="003E0822">
      <w:pPr>
        <w:tabs>
          <w:tab w:val="left" w:pos="-709"/>
        </w:tabs>
        <w:ind w:left="-709"/>
        <w:jc w:val="both"/>
      </w:pPr>
    </w:p>
    <w:p w:rsidR="003E0822" w:rsidRDefault="003E0822" w:rsidP="003E0822">
      <w:pPr>
        <w:tabs>
          <w:tab w:val="left" w:pos="-709"/>
        </w:tabs>
        <w:ind w:left="-709"/>
        <w:jc w:val="both"/>
      </w:pPr>
    </w:p>
    <w:p w:rsidR="003E0822" w:rsidRDefault="003E0822" w:rsidP="003E0822">
      <w:pPr>
        <w:tabs>
          <w:tab w:val="left" w:pos="-709"/>
        </w:tabs>
        <w:ind w:left="-709"/>
        <w:jc w:val="both"/>
      </w:pPr>
    </w:p>
    <w:p w:rsidR="003E0822" w:rsidRDefault="003E0822" w:rsidP="003E0822">
      <w:pPr>
        <w:tabs>
          <w:tab w:val="left" w:pos="-709"/>
        </w:tabs>
        <w:ind w:left="-709"/>
        <w:jc w:val="both"/>
      </w:pPr>
    </w:p>
    <w:p w:rsidR="003E0822" w:rsidRDefault="003E0822" w:rsidP="003E0822">
      <w:pPr>
        <w:tabs>
          <w:tab w:val="left" w:pos="-709"/>
        </w:tabs>
        <w:ind w:left="-709"/>
        <w:jc w:val="both"/>
      </w:pPr>
    </w:p>
    <w:p w:rsidR="003E0822" w:rsidRDefault="003E0822" w:rsidP="003E0822">
      <w:pPr>
        <w:tabs>
          <w:tab w:val="left" w:pos="-709"/>
        </w:tabs>
        <w:ind w:left="-709"/>
        <w:jc w:val="both"/>
      </w:pPr>
    </w:p>
    <w:sectPr w:rsidR="003E0822" w:rsidSect="003E082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AE" w:rsidRDefault="00A714AE" w:rsidP="003E0822">
      <w:pPr>
        <w:spacing w:after="0" w:line="240" w:lineRule="auto"/>
      </w:pPr>
      <w:r>
        <w:separator/>
      </w:r>
    </w:p>
  </w:endnote>
  <w:endnote w:type="continuationSeparator" w:id="0">
    <w:p w:rsidR="00A714AE" w:rsidRDefault="00A714AE" w:rsidP="003E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AE" w:rsidRDefault="00A714AE" w:rsidP="003E0822">
      <w:pPr>
        <w:spacing w:after="0" w:line="240" w:lineRule="auto"/>
      </w:pPr>
      <w:r>
        <w:separator/>
      </w:r>
    </w:p>
  </w:footnote>
  <w:footnote w:type="continuationSeparator" w:id="0">
    <w:p w:rsidR="00A714AE" w:rsidRDefault="00A714AE" w:rsidP="003E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95" w:rsidRDefault="000F0E9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5BAFE04">
          <wp:extent cx="1670685" cy="372110"/>
          <wp:effectExtent l="0" t="0" r="5715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DF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A82E56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7F60"/>
    <w:multiLevelType w:val="hybridMultilevel"/>
    <w:tmpl w:val="D024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1E74"/>
    <w:multiLevelType w:val="hybridMultilevel"/>
    <w:tmpl w:val="28E8CE4C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16654B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0E4A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2"/>
    <w:rsid w:val="000944E4"/>
    <w:rsid w:val="000E14A9"/>
    <w:rsid w:val="000F0E95"/>
    <w:rsid w:val="000F7502"/>
    <w:rsid w:val="00101199"/>
    <w:rsid w:val="00116A40"/>
    <w:rsid w:val="002205D7"/>
    <w:rsid w:val="00260E12"/>
    <w:rsid w:val="002630BE"/>
    <w:rsid w:val="002B1DD7"/>
    <w:rsid w:val="002C2C8F"/>
    <w:rsid w:val="002D3026"/>
    <w:rsid w:val="00373924"/>
    <w:rsid w:val="003A0E77"/>
    <w:rsid w:val="003A580E"/>
    <w:rsid w:val="003E0822"/>
    <w:rsid w:val="004A5174"/>
    <w:rsid w:val="004D56D7"/>
    <w:rsid w:val="004F0F70"/>
    <w:rsid w:val="0052729A"/>
    <w:rsid w:val="005417DE"/>
    <w:rsid w:val="00667D96"/>
    <w:rsid w:val="00693397"/>
    <w:rsid w:val="006945D9"/>
    <w:rsid w:val="006B53EF"/>
    <w:rsid w:val="0076414B"/>
    <w:rsid w:val="007B5AF7"/>
    <w:rsid w:val="00854756"/>
    <w:rsid w:val="00874F7B"/>
    <w:rsid w:val="00882C79"/>
    <w:rsid w:val="00907E73"/>
    <w:rsid w:val="00920689"/>
    <w:rsid w:val="00A2666A"/>
    <w:rsid w:val="00A43F4F"/>
    <w:rsid w:val="00A714AE"/>
    <w:rsid w:val="00A904E4"/>
    <w:rsid w:val="00AB41C8"/>
    <w:rsid w:val="00AC3D71"/>
    <w:rsid w:val="00B76E6B"/>
    <w:rsid w:val="00BB03E8"/>
    <w:rsid w:val="00BC48B9"/>
    <w:rsid w:val="00C0687F"/>
    <w:rsid w:val="00C7134C"/>
    <w:rsid w:val="00D55E1E"/>
    <w:rsid w:val="00D956E5"/>
    <w:rsid w:val="00DF6B42"/>
    <w:rsid w:val="00E67F8D"/>
    <w:rsid w:val="00FA2CD3"/>
    <w:rsid w:val="00FC6376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0417C-A4B6-4795-BA27-311D110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22"/>
  </w:style>
  <w:style w:type="paragraph" w:styleId="Footer">
    <w:name w:val="footer"/>
    <w:basedOn w:val="Normal"/>
    <w:link w:val="FooterChar"/>
    <w:uiPriority w:val="99"/>
    <w:unhideWhenUsed/>
    <w:rsid w:val="003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22"/>
  </w:style>
  <w:style w:type="paragraph" w:styleId="ListParagraph">
    <w:name w:val="List Paragraph"/>
    <w:basedOn w:val="Normal"/>
    <w:uiPriority w:val="34"/>
    <w:qFormat/>
    <w:rsid w:val="003E0822"/>
    <w:pPr>
      <w:ind w:left="720"/>
      <w:contextualSpacing/>
    </w:pPr>
  </w:style>
  <w:style w:type="table" w:styleId="TableGrid">
    <w:name w:val="Table Grid"/>
    <w:basedOn w:val="TableNormal"/>
    <w:uiPriority w:val="39"/>
    <w:rsid w:val="00FA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880B-FAA2-49D1-9456-C92F755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2019-12-03T12:46:00Z</cp:lastPrinted>
  <dcterms:created xsi:type="dcterms:W3CDTF">2019-12-04T14:41:00Z</dcterms:created>
  <dcterms:modified xsi:type="dcterms:W3CDTF">2019-12-04T14:41:00Z</dcterms:modified>
</cp:coreProperties>
</file>