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98C" w:rsidRDefault="00BB198C">
      <w:bookmarkStart w:id="0" w:name="_GoBack"/>
      <w:bookmarkEnd w:id="0"/>
    </w:p>
    <w:p w:rsidR="00BB198C" w:rsidRDefault="00BB7D28">
      <w:r>
        <w:rPr>
          <w:noProof/>
          <w:lang w:eastAsia="en-GB"/>
        </w:rPr>
        <mc:AlternateContent>
          <mc:Choice Requires="wps">
            <w:drawing>
              <wp:anchor distT="0" distB="0" distL="114300" distR="114300" simplePos="0" relativeHeight="251659264" behindDoc="0" locked="0" layoutInCell="1" allowOverlap="1" wp14:anchorId="4780CD46" wp14:editId="334FDFA1">
                <wp:simplePos x="0" y="0"/>
                <wp:positionH relativeFrom="margin">
                  <wp:align>left</wp:align>
                </wp:positionH>
                <wp:positionV relativeFrom="paragraph">
                  <wp:posOffset>4119466</wp:posOffset>
                </wp:positionV>
                <wp:extent cx="6589986" cy="4338083"/>
                <wp:effectExtent l="0" t="0" r="1905" b="5715"/>
                <wp:wrapNone/>
                <wp:docPr id="75" name="Text Box 75"/>
                <wp:cNvGraphicFramePr/>
                <a:graphic xmlns:a="http://schemas.openxmlformats.org/drawingml/2006/main">
                  <a:graphicData uri="http://schemas.microsoft.com/office/word/2010/wordprocessingShape">
                    <wps:wsp>
                      <wps:cNvSpPr txBox="1"/>
                      <wps:spPr>
                        <a:xfrm>
                          <a:off x="0" y="0"/>
                          <a:ext cx="6589986" cy="43380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98C" w:rsidRPr="00BB198C" w:rsidRDefault="00956629">
                            <w:pPr>
                              <w:rPr>
                                <w:rFonts w:ascii="Century Gothic" w:hAnsi="Century Gothic"/>
                                <w:b/>
                                <w:color w:val="002060"/>
                                <w:sz w:val="96"/>
                              </w:rPr>
                            </w:pPr>
                            <w:r>
                              <w:rPr>
                                <w:rFonts w:ascii="Century Gothic" w:hAnsi="Century Gothic"/>
                                <w:b/>
                                <w:color w:val="002060"/>
                                <w:sz w:val="96"/>
                              </w:rPr>
                              <w:t xml:space="preserve">Whole School English as an Additional Language – </w:t>
                            </w:r>
                            <w:proofErr w:type="gramStart"/>
                            <w:r>
                              <w:rPr>
                                <w:rFonts w:ascii="Century Gothic" w:hAnsi="Century Gothic"/>
                                <w:b/>
                                <w:color w:val="002060"/>
                                <w:sz w:val="96"/>
                              </w:rPr>
                              <w:t xml:space="preserve">EAL </w:t>
                            </w:r>
                            <w:r w:rsidR="00B54BA1">
                              <w:rPr>
                                <w:rFonts w:ascii="Century Gothic" w:hAnsi="Century Gothic"/>
                                <w:b/>
                                <w:color w:val="002060"/>
                                <w:sz w:val="96"/>
                              </w:rPr>
                              <w:t xml:space="preserve"> Policy</w:t>
                            </w:r>
                            <w:proofErr w:type="gramEnd"/>
                            <w:r w:rsidR="00B54BA1">
                              <w:rPr>
                                <w:rFonts w:ascii="Century Gothic" w:hAnsi="Century Gothic"/>
                                <w:b/>
                                <w:color w:val="002060"/>
                                <w:sz w:val="9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80CD46" id="_x0000_t202" coordsize="21600,21600" o:spt="202" path="m,l,21600r21600,l21600,xe">
                <v:stroke joinstyle="miter"/>
                <v:path gradientshapeok="t" o:connecttype="rect"/>
              </v:shapetype>
              <v:shape id="Text Box 75" o:spid="_x0000_s1026" type="#_x0000_t202" style="position:absolute;margin-left:0;margin-top:324.35pt;width:518.9pt;height:341.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" filled="f" stroked="f" strokeweight=".5pt">
                <v:textbox inset="0,0,0,0">
                  <w:txbxContent>
                    <w:p w:rsidR="00BB198C" w:rsidRPr="00BB198C" w:rsidRDefault="00956629">
                      <w:pPr>
                        <w:rPr>
                          <w:rFonts w:ascii="Century Gothic" w:hAnsi="Century Gothic"/>
                          <w:b/>
                          <w:color w:val="002060"/>
                          <w:sz w:val="96"/>
                        </w:rPr>
                      </w:pPr>
                      <w:r>
                        <w:rPr>
                          <w:rFonts w:ascii="Century Gothic" w:hAnsi="Century Gothic"/>
                          <w:b/>
                          <w:color w:val="002060"/>
                          <w:sz w:val="96"/>
                        </w:rPr>
                        <w:t xml:space="preserve">Whole School English as an Additional Language – </w:t>
                      </w:r>
                      <w:proofErr w:type="gramStart"/>
                      <w:r>
                        <w:rPr>
                          <w:rFonts w:ascii="Century Gothic" w:hAnsi="Century Gothic"/>
                          <w:b/>
                          <w:color w:val="002060"/>
                          <w:sz w:val="96"/>
                        </w:rPr>
                        <w:t xml:space="preserve">EAL </w:t>
                      </w:r>
                      <w:r w:rsidR="00B54BA1">
                        <w:rPr>
                          <w:rFonts w:ascii="Century Gothic" w:hAnsi="Century Gothic"/>
                          <w:b/>
                          <w:color w:val="002060"/>
                          <w:sz w:val="96"/>
                        </w:rPr>
                        <w:t xml:space="preserve"> Policy</w:t>
                      </w:r>
                      <w:proofErr w:type="gramEnd"/>
                      <w:r w:rsidR="00B54BA1">
                        <w:rPr>
                          <w:rFonts w:ascii="Century Gothic" w:hAnsi="Century Gothic"/>
                          <w:b/>
                          <w:color w:val="002060"/>
                          <w:sz w:val="96"/>
                        </w:rPr>
                        <w:t xml:space="preserve"> </w:t>
                      </w:r>
                    </w:p>
                  </w:txbxContent>
                </v:textbox>
                <w10:wrap anchorx="margin"/>
              </v:shape>
            </w:pict>
          </mc:Fallback>
        </mc:AlternateContent>
      </w:r>
      <w:r w:rsidR="00BB198C">
        <w:br w:type="page"/>
      </w:r>
    </w:p>
    <w:p w:rsidR="002A2AF7" w:rsidRPr="005A2889" w:rsidRDefault="00BB198C" w:rsidP="005A2889">
      <w:pPr>
        <w:pStyle w:val="ListParagraph"/>
        <w:numPr>
          <w:ilvl w:val="0"/>
          <w:numId w:val="1"/>
        </w:numPr>
        <w:spacing w:line="240" w:lineRule="auto"/>
        <w:rPr>
          <w:rFonts w:ascii="Century Gothic" w:hAnsi="Century Gothic"/>
          <w:color w:val="002060"/>
          <w:sz w:val="24"/>
        </w:rPr>
      </w:pPr>
      <w:r w:rsidRPr="005A2889">
        <w:rPr>
          <w:rFonts w:ascii="Century Gothic" w:hAnsi="Century Gothic"/>
          <w:color w:val="002060"/>
          <w:sz w:val="24"/>
        </w:rPr>
        <w:lastRenderedPageBreak/>
        <w:t>P</w:t>
      </w:r>
      <w:r w:rsidRPr="005A2889">
        <w:rPr>
          <w:rStyle w:val="SectionHeadingChar"/>
        </w:rPr>
        <w:t>urpose</w:t>
      </w:r>
    </w:p>
    <w:p w:rsidR="00956629" w:rsidRDefault="00956629" w:rsidP="00956629">
      <w:pPr>
        <w:ind w:left="360" w:hanging="360"/>
      </w:pPr>
      <w:r>
        <w:t xml:space="preserve">1.1 </w:t>
      </w:r>
      <w:r>
        <w:tab/>
      </w:r>
      <w:r w:rsidR="005A2889" w:rsidRPr="005A2889">
        <w:t>This policy sets out the framework for</w:t>
      </w:r>
      <w:r>
        <w:t xml:space="preserve"> recognition of internationalism and to ensure equality of access across the curriculum, Carr Hill High School and Sixth Form College is committed to providing a quality education in English for all EAL pupils.  </w:t>
      </w:r>
    </w:p>
    <w:p w:rsidR="00956629" w:rsidRDefault="00956629" w:rsidP="00956629">
      <w:pPr>
        <w:spacing w:after="0"/>
        <w:ind w:firstLine="360"/>
      </w:pPr>
      <w:r>
        <w:t xml:space="preserve">All students should be encouraged to achieve their full potential, and those with EAL should be </w:t>
      </w:r>
    </w:p>
    <w:p w:rsidR="00956629" w:rsidRDefault="00956629" w:rsidP="00956629">
      <w:pPr>
        <w:spacing w:after="0"/>
        <w:ind w:firstLine="360"/>
      </w:pPr>
      <w:proofErr w:type="gramStart"/>
      <w:r>
        <w:t>supported</w:t>
      </w:r>
      <w:proofErr w:type="gramEnd"/>
      <w:r>
        <w:t xml:space="preserve"> appropriately, so that they are able to access learning material and make measured </w:t>
      </w:r>
    </w:p>
    <w:p w:rsidR="00956629" w:rsidRDefault="00956629" w:rsidP="00956629">
      <w:pPr>
        <w:spacing w:after="0"/>
        <w:ind w:firstLine="360"/>
      </w:pPr>
      <w:proofErr w:type="gramStart"/>
      <w:r>
        <w:t>progress</w:t>
      </w:r>
      <w:proofErr w:type="gramEnd"/>
      <w:r>
        <w:t xml:space="preserve">. </w:t>
      </w:r>
    </w:p>
    <w:p w:rsidR="00956629" w:rsidRDefault="00956629" w:rsidP="00956629"/>
    <w:p w:rsidR="00956629" w:rsidRDefault="00956629" w:rsidP="00956629">
      <w:r>
        <w:t xml:space="preserve">1. 2 Carr Hill High School and Sixth Form Centre aims to support those pupils with EAL by: </w:t>
      </w:r>
    </w:p>
    <w:p w:rsidR="00956629" w:rsidRDefault="00956629" w:rsidP="00956629">
      <w:pPr>
        <w:pStyle w:val="ListParagraph"/>
        <w:numPr>
          <w:ilvl w:val="0"/>
          <w:numId w:val="2"/>
        </w:numPr>
        <w:spacing w:after="200" w:line="276" w:lineRule="auto"/>
      </w:pPr>
      <w:r>
        <w:t xml:space="preserve">Ensuring the curriculum content is inclusive </w:t>
      </w:r>
    </w:p>
    <w:p w:rsidR="00956629" w:rsidRDefault="00956629" w:rsidP="00956629">
      <w:pPr>
        <w:pStyle w:val="ListParagraph"/>
        <w:numPr>
          <w:ilvl w:val="0"/>
          <w:numId w:val="2"/>
        </w:numPr>
        <w:spacing w:after="200" w:line="276" w:lineRule="auto"/>
      </w:pPr>
      <w:r>
        <w:t xml:space="preserve">Having open dialogue with parents and carers about their children’s education </w:t>
      </w:r>
    </w:p>
    <w:p w:rsidR="00956629" w:rsidRDefault="00956629" w:rsidP="00956629">
      <w:pPr>
        <w:pStyle w:val="ListParagraph"/>
        <w:numPr>
          <w:ilvl w:val="0"/>
          <w:numId w:val="2"/>
        </w:numPr>
        <w:spacing w:after="200" w:line="276" w:lineRule="auto"/>
      </w:pPr>
      <w:r>
        <w:t xml:space="preserve">Ensuring the child’s strengths and talents are recognised and maximised </w:t>
      </w:r>
    </w:p>
    <w:p w:rsidR="00956629" w:rsidRDefault="00956629" w:rsidP="00956629">
      <w:pPr>
        <w:pStyle w:val="ListParagraph"/>
        <w:numPr>
          <w:ilvl w:val="0"/>
          <w:numId w:val="2"/>
        </w:numPr>
        <w:spacing w:after="200" w:line="276" w:lineRule="auto"/>
      </w:pPr>
      <w:r>
        <w:t xml:space="preserve">Making use of interactive resources available online and in lessons </w:t>
      </w:r>
    </w:p>
    <w:p w:rsidR="00956629" w:rsidRDefault="00956629" w:rsidP="00956629">
      <w:pPr>
        <w:pStyle w:val="ListParagraph"/>
        <w:numPr>
          <w:ilvl w:val="0"/>
          <w:numId w:val="2"/>
        </w:numPr>
        <w:spacing w:after="0" w:line="276" w:lineRule="auto"/>
      </w:pPr>
      <w:r>
        <w:t xml:space="preserve">Providing additional sessions/classes/intervention(s) for those pupils requiring further support in accessing the English language </w:t>
      </w:r>
    </w:p>
    <w:p w:rsidR="005A2889" w:rsidRDefault="005A2889" w:rsidP="00956629">
      <w:pPr>
        <w:pStyle w:val="PolicyBody"/>
        <w:numPr>
          <w:ilvl w:val="0"/>
          <w:numId w:val="0"/>
        </w:numPr>
        <w:ind w:left="426"/>
      </w:pPr>
    </w:p>
    <w:p w:rsidR="00BB198C" w:rsidRDefault="00BB198C" w:rsidP="005A2889">
      <w:pPr>
        <w:pStyle w:val="SectionHeading"/>
      </w:pPr>
      <w:r w:rsidRPr="005A2889">
        <w:t>Application</w:t>
      </w:r>
    </w:p>
    <w:p w:rsidR="00956629" w:rsidRDefault="00956629" w:rsidP="00956629">
      <w:pPr>
        <w:pStyle w:val="SectionHeading"/>
        <w:numPr>
          <w:ilvl w:val="0"/>
          <w:numId w:val="0"/>
        </w:numPr>
        <w:ind w:left="360" w:hanging="360"/>
      </w:pPr>
    </w:p>
    <w:p w:rsidR="00956629" w:rsidRDefault="00956629" w:rsidP="00956629">
      <w:pPr>
        <w:pStyle w:val="SectionHeading"/>
        <w:numPr>
          <w:ilvl w:val="0"/>
          <w:numId w:val="0"/>
        </w:numPr>
        <w:ind w:left="450" w:hanging="450"/>
      </w:pPr>
      <w:r w:rsidRPr="00956629">
        <w:rPr>
          <w:rFonts w:asciiTheme="minorHAnsi" w:hAnsiTheme="minorHAnsi" w:cstheme="minorHAnsi"/>
          <w:color w:val="auto"/>
          <w:sz w:val="22"/>
        </w:rPr>
        <w:t xml:space="preserve">2.1 </w:t>
      </w:r>
      <w:r>
        <w:rPr>
          <w:rFonts w:asciiTheme="minorHAnsi" w:hAnsiTheme="minorHAnsi" w:cstheme="minorHAnsi"/>
          <w:color w:val="auto"/>
          <w:sz w:val="22"/>
        </w:rPr>
        <w:t xml:space="preserve">  </w:t>
      </w:r>
      <w:r w:rsidR="0052615B">
        <w:rPr>
          <w:rFonts w:asciiTheme="minorHAnsi" w:hAnsiTheme="minorHAnsi" w:cstheme="minorHAnsi"/>
          <w:color w:val="auto"/>
          <w:sz w:val="22"/>
        </w:rPr>
        <w:t>T</w:t>
      </w:r>
      <w:r w:rsidR="005A2889" w:rsidRPr="00956629">
        <w:rPr>
          <w:rFonts w:asciiTheme="minorHAnsi" w:hAnsiTheme="minorHAnsi" w:cstheme="minorHAnsi"/>
          <w:color w:val="auto"/>
          <w:sz w:val="22"/>
        </w:rPr>
        <w:t>his policy applies to</w:t>
      </w:r>
      <w:r w:rsidRPr="00956629">
        <w:rPr>
          <w:rFonts w:asciiTheme="minorHAnsi" w:hAnsiTheme="minorHAnsi" w:cstheme="minorHAnsi"/>
          <w:color w:val="auto"/>
          <w:sz w:val="22"/>
        </w:rPr>
        <w:t xml:space="preserve"> all our EAL pupils ensuring they are able to fully participate in the life of the school and gain access to appropriately planned and prepared curricular provision</w:t>
      </w:r>
      <w:r>
        <w:t xml:space="preserve">.  </w:t>
      </w:r>
    </w:p>
    <w:p w:rsidR="00956629" w:rsidRDefault="00956629" w:rsidP="00956629">
      <w:pPr>
        <w:spacing w:after="200" w:line="276" w:lineRule="auto"/>
        <w:ind w:left="284"/>
      </w:pPr>
      <w:r>
        <w:t xml:space="preserve">  It helps ensure that our EAL pupils attain curriculum levels and examination grades appropriate to their abilities.  </w:t>
      </w:r>
    </w:p>
    <w:p w:rsidR="00956629" w:rsidRDefault="00956629" w:rsidP="00956629">
      <w:pPr>
        <w:spacing w:after="0" w:line="276" w:lineRule="auto"/>
        <w:ind w:left="360"/>
      </w:pPr>
      <w:r>
        <w:t xml:space="preserve">It helps us to monitor the progress of our EAL pupils’ acquisition of English, their general achievement and their    </w:t>
      </w:r>
      <w:r w:rsidR="0052615B">
        <w:t xml:space="preserve"> </w:t>
      </w:r>
      <w:r>
        <w:t>attainment in public examinations.</w:t>
      </w:r>
    </w:p>
    <w:p w:rsidR="0052615B" w:rsidRDefault="0052615B" w:rsidP="00956629">
      <w:pPr>
        <w:spacing w:after="0" w:line="276" w:lineRule="auto"/>
        <w:ind w:left="360"/>
      </w:pPr>
    </w:p>
    <w:p w:rsidR="0052615B" w:rsidRPr="0052615B" w:rsidRDefault="0052615B" w:rsidP="0052615B">
      <w:pPr>
        <w:ind w:left="360"/>
        <w:rPr>
          <w:rFonts w:eastAsia="Times New Roman" w:cstheme="minorHAnsi"/>
          <w:lang w:val="en-US"/>
        </w:rPr>
      </w:pPr>
      <w:r w:rsidRPr="0052615B">
        <w:rPr>
          <w:rFonts w:eastAsia="Times New Roman" w:cstheme="minorHAnsi"/>
          <w:lang w:val="en-US"/>
        </w:rPr>
        <w:t xml:space="preserve">This policy is written with reference to:  </w:t>
      </w:r>
    </w:p>
    <w:p w:rsidR="0052615B" w:rsidRPr="0052615B" w:rsidRDefault="0052615B" w:rsidP="0052615B">
      <w:pPr>
        <w:spacing w:after="0" w:line="240" w:lineRule="auto"/>
        <w:ind w:left="360"/>
        <w:rPr>
          <w:rFonts w:eastAsia="Times New Roman" w:cstheme="minorHAnsi"/>
          <w:lang w:val="en-US"/>
        </w:rPr>
      </w:pPr>
      <w:r w:rsidRPr="0052615B">
        <w:rPr>
          <w:rFonts w:eastAsia="Times New Roman" w:cstheme="minorHAnsi"/>
          <w:lang w:val="en-US"/>
        </w:rPr>
        <w:t> Children and Families Act 2014</w:t>
      </w:r>
    </w:p>
    <w:p w:rsidR="0052615B" w:rsidRPr="0052615B" w:rsidRDefault="0052615B" w:rsidP="0052615B">
      <w:pPr>
        <w:spacing w:after="0" w:line="240" w:lineRule="auto"/>
        <w:ind w:left="360"/>
        <w:rPr>
          <w:rFonts w:cstheme="minorHAnsi"/>
        </w:rPr>
      </w:pPr>
      <w:r w:rsidRPr="0052615B">
        <w:rPr>
          <w:rFonts w:eastAsia="Times New Roman" w:cstheme="minorHAnsi"/>
          <w:lang w:val="en-US"/>
        </w:rPr>
        <w:t> Equality Act 2010</w:t>
      </w:r>
    </w:p>
    <w:p w:rsidR="0052615B" w:rsidRDefault="0052615B" w:rsidP="00956629">
      <w:pPr>
        <w:spacing w:after="0" w:line="276" w:lineRule="auto"/>
        <w:ind w:left="360"/>
      </w:pPr>
    </w:p>
    <w:p w:rsidR="00BB198C" w:rsidRDefault="00956629" w:rsidP="005A2889">
      <w:pPr>
        <w:pStyle w:val="SectionHeading"/>
      </w:pPr>
      <w:r>
        <w:t>Arrangements for co-ordinating EAL provision</w:t>
      </w:r>
    </w:p>
    <w:p w:rsidR="00956629" w:rsidRDefault="00956629" w:rsidP="00956629">
      <w:pPr>
        <w:pStyle w:val="SectionHeading"/>
        <w:numPr>
          <w:ilvl w:val="0"/>
          <w:numId w:val="0"/>
        </w:numPr>
      </w:pPr>
    </w:p>
    <w:p w:rsidR="00956629" w:rsidRDefault="00956629" w:rsidP="00956629">
      <w:r>
        <w:t xml:space="preserve">3.1 Upon visiting the school initially, parents are asked to inform us if English is an additional language for their child. </w:t>
      </w:r>
    </w:p>
    <w:p w:rsidR="00956629" w:rsidRPr="002155F8" w:rsidRDefault="00956629" w:rsidP="00956629">
      <w:pPr>
        <w:pStyle w:val="ListParagraph"/>
        <w:numPr>
          <w:ilvl w:val="0"/>
          <w:numId w:val="4"/>
        </w:numPr>
        <w:spacing w:after="200" w:line="276" w:lineRule="auto"/>
      </w:pPr>
      <w:r>
        <w:t xml:space="preserve">All y7 pupils on entry in September are </w:t>
      </w:r>
      <w:r w:rsidRPr="002155F8">
        <w:t>given screening tests within the first few weeks of the academic year, to ascertain the need for additional support. EAL issues will be highlighted at this point too</w:t>
      </w:r>
      <w:r>
        <w:t xml:space="preserve"> via a specialist teacher initial assessment</w:t>
      </w:r>
      <w:r w:rsidRPr="002155F8">
        <w:t xml:space="preserve">. </w:t>
      </w:r>
    </w:p>
    <w:p w:rsidR="00956629" w:rsidRPr="002155F8" w:rsidRDefault="00956629" w:rsidP="00956629">
      <w:pPr>
        <w:pStyle w:val="ListParagraph"/>
        <w:numPr>
          <w:ilvl w:val="0"/>
          <w:numId w:val="4"/>
        </w:numPr>
        <w:spacing w:after="200" w:line="276" w:lineRule="auto"/>
      </w:pPr>
      <w:r w:rsidRPr="002155F8">
        <w:t xml:space="preserve">The SENCo will use the results of these tests, and will advise (where appropriate) any specific intervention the child may need for EAL. </w:t>
      </w:r>
    </w:p>
    <w:p w:rsidR="00956629" w:rsidRDefault="00956629" w:rsidP="00956629">
      <w:pPr>
        <w:pStyle w:val="ListParagraph"/>
        <w:numPr>
          <w:ilvl w:val="0"/>
          <w:numId w:val="4"/>
        </w:numPr>
        <w:spacing w:after="0" w:line="276" w:lineRule="auto"/>
      </w:pPr>
      <w:r w:rsidRPr="002155F8">
        <w:t>Visiting pupils in Year 5 and Year 6 are</w:t>
      </w:r>
      <w:r>
        <w:t xml:space="preserve"> closely monitored by staff during their taster days, and any concerns about EAL and communication is passed on to the SENCo. </w:t>
      </w:r>
    </w:p>
    <w:p w:rsidR="00956629" w:rsidRDefault="00956629" w:rsidP="00956629">
      <w:pPr>
        <w:pStyle w:val="ListParagraph"/>
        <w:numPr>
          <w:ilvl w:val="0"/>
          <w:numId w:val="4"/>
        </w:numPr>
        <w:spacing w:after="0" w:line="276" w:lineRule="auto"/>
      </w:pPr>
      <w:r>
        <w:t xml:space="preserve">For all students entering at other points in the </w:t>
      </w:r>
      <w:proofErr w:type="gramStart"/>
      <w:r>
        <w:t>year  their</w:t>
      </w:r>
      <w:proofErr w:type="gramEnd"/>
      <w:r>
        <w:t xml:space="preserve"> previous school records, information from parents and any initial in house testing will inform of  any EAL provision that might be required.</w:t>
      </w:r>
    </w:p>
    <w:p w:rsidR="00956629" w:rsidRDefault="00956629" w:rsidP="00956629">
      <w:pPr>
        <w:pStyle w:val="ListParagraph"/>
        <w:numPr>
          <w:ilvl w:val="0"/>
          <w:numId w:val="4"/>
        </w:numPr>
        <w:spacing w:after="0" w:line="276" w:lineRule="auto"/>
      </w:pPr>
      <w:r>
        <w:lastRenderedPageBreak/>
        <w:t xml:space="preserve"> It is the responsibility of all staff to monitor the progress of our EAL children. Staff liaise closely with one   another about the impact of various interventions. Support is fluid, and can be adapted, removed or added to at any time. </w:t>
      </w:r>
    </w:p>
    <w:p w:rsidR="0052615B" w:rsidRDefault="0052615B" w:rsidP="0052615B">
      <w:pPr>
        <w:spacing w:after="0" w:line="276" w:lineRule="auto"/>
        <w:ind w:left="426"/>
      </w:pPr>
      <w:r w:rsidRPr="0052615B">
        <w:rPr>
          <w:color w:val="FF0000"/>
        </w:rPr>
        <w:t xml:space="preserve">.   </w:t>
      </w:r>
    </w:p>
    <w:p w:rsidR="005A2889" w:rsidRDefault="0052615B" w:rsidP="005A2889">
      <w:pPr>
        <w:pStyle w:val="SectionHeading"/>
      </w:pPr>
      <w:r>
        <w:t>The types of EAL provision offered</w:t>
      </w:r>
    </w:p>
    <w:p w:rsidR="0052615B" w:rsidRDefault="0052615B" w:rsidP="0052615B">
      <w:pPr>
        <w:spacing w:after="200" w:line="276" w:lineRule="auto"/>
        <w:ind w:left="360"/>
      </w:pPr>
      <w:r>
        <w:t xml:space="preserve">4.1 </w:t>
      </w:r>
    </w:p>
    <w:p w:rsidR="0052615B" w:rsidRDefault="0052615B" w:rsidP="0052615B">
      <w:pPr>
        <w:pStyle w:val="ListParagraph"/>
        <w:numPr>
          <w:ilvl w:val="0"/>
          <w:numId w:val="6"/>
        </w:numPr>
        <w:spacing w:after="200" w:line="276" w:lineRule="auto"/>
      </w:pPr>
      <w:r>
        <w:t xml:space="preserve">Often, full immersion into mainstream lessons will be the most successful way of encouraging a pupil to pick up English. When this is the case, pupils are closely monitored by class teachers to ensure progress is being made. </w:t>
      </w:r>
    </w:p>
    <w:p w:rsidR="0052615B" w:rsidRDefault="0052615B" w:rsidP="0052615B">
      <w:pPr>
        <w:pStyle w:val="ListParagraph"/>
        <w:numPr>
          <w:ilvl w:val="0"/>
          <w:numId w:val="5"/>
        </w:numPr>
        <w:spacing w:after="0" w:line="276" w:lineRule="auto"/>
      </w:pPr>
      <w:r>
        <w:t xml:space="preserve">Sometimes, pupils with EAL will be offered additional 1:1 sessions with our specialist teachers. Most EAL pupils needing additional support do not have </w:t>
      </w:r>
      <w:proofErr w:type="gramStart"/>
      <w:r>
        <w:t>SEN .</w:t>
      </w:r>
      <w:proofErr w:type="gramEnd"/>
      <w:r>
        <w:t xml:space="preserve">  Should SEN be identified, EAL pupils have equal access to school’s SEN provision. </w:t>
      </w:r>
    </w:p>
    <w:p w:rsidR="0052615B" w:rsidRDefault="0052615B" w:rsidP="0052615B">
      <w:pPr>
        <w:pStyle w:val="ListParagraph"/>
        <w:numPr>
          <w:ilvl w:val="0"/>
          <w:numId w:val="5"/>
        </w:numPr>
        <w:spacing w:after="0" w:line="276" w:lineRule="auto"/>
      </w:pPr>
      <w:r>
        <w:t xml:space="preserve">For those pupils not requiring intensive 1:1 support for EAL, but who need some intervention, we may buddy them up with a Reading Mentor: an older pupil who listens to them read and offers support. Where possible we try to provide a mentor who has some knowledge of their first language. </w:t>
      </w:r>
    </w:p>
    <w:p w:rsidR="0052615B" w:rsidRDefault="0052615B" w:rsidP="0052615B">
      <w:pPr>
        <w:pStyle w:val="ListParagraph"/>
        <w:numPr>
          <w:ilvl w:val="0"/>
          <w:numId w:val="5"/>
        </w:numPr>
        <w:spacing w:after="0" w:line="276" w:lineRule="auto"/>
      </w:pPr>
      <w:r>
        <w:t>EAL strategies are provided to staff to support them in their planning.</w:t>
      </w:r>
    </w:p>
    <w:p w:rsidR="0052615B" w:rsidRDefault="0052615B" w:rsidP="0052615B">
      <w:pPr>
        <w:pStyle w:val="ListParagraph"/>
        <w:numPr>
          <w:ilvl w:val="0"/>
          <w:numId w:val="5"/>
        </w:numPr>
        <w:spacing w:after="200" w:line="276" w:lineRule="auto"/>
      </w:pPr>
      <w:r>
        <w:t>In some cases, pupils with EAL may be given a P</w:t>
      </w:r>
      <w:r w:rsidRPr="00331720">
        <w:t xml:space="preserve">upil </w:t>
      </w:r>
      <w:r>
        <w:t>P</w:t>
      </w:r>
      <w:r w:rsidRPr="00331720">
        <w:t xml:space="preserve">rofile or </w:t>
      </w:r>
      <w:r>
        <w:t>P</w:t>
      </w:r>
      <w:r w:rsidRPr="00331720">
        <w:t xml:space="preserve">en </w:t>
      </w:r>
      <w:r>
        <w:t>P</w:t>
      </w:r>
      <w:r w:rsidRPr="00331720">
        <w:t>ortrait,</w:t>
      </w:r>
      <w:r>
        <w:t xml:space="preserve"> (PP’s), which teachers will refer to when planning their lessons. These PP</w:t>
      </w:r>
      <w:r w:rsidRPr="00331720">
        <w:t>’s</w:t>
      </w:r>
      <w:r>
        <w:t xml:space="preserve"> can give teachers useful tips on how to support that child with their acquisition of English. It also gives suggestions about how to differentiate appropriately in lessons to ensure these pupils can make progress. </w:t>
      </w:r>
    </w:p>
    <w:p w:rsidR="0052615B" w:rsidRDefault="0052615B" w:rsidP="0052615B">
      <w:pPr>
        <w:pStyle w:val="ListParagraph"/>
        <w:numPr>
          <w:ilvl w:val="0"/>
          <w:numId w:val="5"/>
        </w:numPr>
        <w:spacing w:after="200" w:line="276" w:lineRule="auto"/>
      </w:pPr>
      <w:r>
        <w:t xml:space="preserve">Pupils in Key Stage 4 and 5 can, where relevant, be offered specific access arrangements in examinations, such as the use of a bilingual dictionary and extra time to support them. </w:t>
      </w:r>
    </w:p>
    <w:p w:rsidR="0052615B" w:rsidRDefault="0052615B" w:rsidP="0052615B">
      <w:pPr>
        <w:pStyle w:val="ListParagraph"/>
        <w:numPr>
          <w:ilvl w:val="0"/>
          <w:numId w:val="5"/>
        </w:numPr>
        <w:spacing w:after="200" w:line="276" w:lineRule="auto"/>
      </w:pPr>
      <w:r>
        <w:t>When possible, the specialist teacher with the support of the SENCo provides an after school club for all EAL who want to attend. This includes high achieving EAL students and new students.</w:t>
      </w:r>
    </w:p>
    <w:p w:rsidR="0052615B" w:rsidRDefault="0052615B" w:rsidP="0052615B">
      <w:pPr>
        <w:pStyle w:val="ListParagraph"/>
        <w:numPr>
          <w:ilvl w:val="0"/>
          <w:numId w:val="5"/>
        </w:numPr>
        <w:spacing w:after="200" w:line="276" w:lineRule="auto"/>
      </w:pPr>
      <w:r>
        <w:t>At certain times of the year all EAL students are met by the SENCo to discuss their perceptions of provision in school.</w:t>
      </w:r>
    </w:p>
    <w:p w:rsidR="0052615B" w:rsidRPr="0052615B" w:rsidRDefault="0052615B" w:rsidP="0052615B">
      <w:pPr>
        <w:pStyle w:val="ListParagraph"/>
        <w:numPr>
          <w:ilvl w:val="0"/>
          <w:numId w:val="5"/>
        </w:numPr>
        <w:spacing w:after="200" w:line="276" w:lineRule="auto"/>
      </w:pPr>
      <w:r w:rsidRPr="0052615B">
        <w:t>The SENCo and the outside specialist teacher run a voluntary EAL club every Friday after p6 until 4pm where speaking exercises, phonics and other language acquisition are covered. This club is available to ALL EAL students including high achieving EAL students</w:t>
      </w:r>
      <w:r>
        <w:t>.</w:t>
      </w:r>
    </w:p>
    <w:p w:rsidR="005A2889" w:rsidRDefault="0052615B" w:rsidP="005A2889">
      <w:pPr>
        <w:pStyle w:val="SectionHeading"/>
      </w:pPr>
      <w:r>
        <w:t>Responsibilities</w:t>
      </w:r>
    </w:p>
    <w:p w:rsidR="0052615B" w:rsidRDefault="0052615B" w:rsidP="0052615B">
      <w:pPr>
        <w:spacing w:after="0"/>
      </w:pPr>
      <w:r>
        <w:t xml:space="preserve">5.1 </w:t>
      </w:r>
      <w:r>
        <w:tab/>
        <w:t xml:space="preserve">It is the responsibility of all staff members to monitor the progress of our pupils with EAL. If the </w:t>
      </w:r>
    </w:p>
    <w:p w:rsidR="0052615B" w:rsidRDefault="0052615B" w:rsidP="0052615B">
      <w:pPr>
        <w:ind w:left="720"/>
      </w:pPr>
      <w:proofErr w:type="gramStart"/>
      <w:r>
        <w:t>child</w:t>
      </w:r>
      <w:proofErr w:type="gramEnd"/>
      <w:r>
        <w:t xml:space="preserve"> has additional SEN support, it is everyone’s responsibility to ensure they have a recent copy of their P</w:t>
      </w:r>
      <w:r w:rsidR="001160F7">
        <w:t xml:space="preserve">upil </w:t>
      </w:r>
      <w:r>
        <w:t>P</w:t>
      </w:r>
      <w:r w:rsidR="001160F7">
        <w:t>rofile</w:t>
      </w:r>
      <w:r>
        <w:t xml:space="preserve"> and that it is adhered to in lesson planning. It is the </w:t>
      </w:r>
      <w:proofErr w:type="spellStart"/>
      <w:r>
        <w:t>SENCo’s</w:t>
      </w:r>
      <w:proofErr w:type="spellEnd"/>
      <w:r>
        <w:t xml:space="preserve"> responsibility to write the PP for those pupils who may require them, and for ensuring that they are kept, up to date, on the system. </w:t>
      </w:r>
    </w:p>
    <w:p w:rsidR="0052615B" w:rsidRDefault="0052615B" w:rsidP="0052615B">
      <w:pPr>
        <w:spacing w:after="0"/>
        <w:ind w:firstLine="720"/>
      </w:pPr>
      <w:r>
        <w:t>If a teacher has a concern about a pupil with EAL’s academic progress, in the first instance they</w:t>
      </w:r>
    </w:p>
    <w:p w:rsidR="0052615B" w:rsidRDefault="0052615B" w:rsidP="0052615B">
      <w:pPr>
        <w:spacing w:after="0"/>
        <w:ind w:firstLine="720"/>
      </w:pPr>
      <w:proofErr w:type="gramStart"/>
      <w:r>
        <w:t>should</w:t>
      </w:r>
      <w:proofErr w:type="gramEnd"/>
      <w:r>
        <w:t xml:space="preserve"> evaluate their lesson planning, to ensure they are experimenting with a range of inclusive </w:t>
      </w:r>
    </w:p>
    <w:p w:rsidR="0052615B" w:rsidRDefault="0052615B" w:rsidP="0052615B">
      <w:pPr>
        <w:spacing w:after="0"/>
        <w:ind w:firstLine="720"/>
      </w:pPr>
      <w:proofErr w:type="gramStart"/>
      <w:r>
        <w:t>strategies</w:t>
      </w:r>
      <w:proofErr w:type="gramEnd"/>
      <w:r>
        <w:t xml:space="preserve">. If they feel that adequate progress is still not being made after this point, it is the </w:t>
      </w:r>
    </w:p>
    <w:p w:rsidR="0052615B" w:rsidRDefault="0052615B" w:rsidP="001160F7">
      <w:pPr>
        <w:spacing w:after="0"/>
      </w:pPr>
      <w:r>
        <w:tab/>
      </w:r>
      <w:proofErr w:type="gramStart"/>
      <w:r>
        <w:t>individual</w:t>
      </w:r>
      <w:proofErr w:type="gramEnd"/>
      <w:r>
        <w:t xml:space="preserve"> staff member’s responsibility to speak with the SENCo about next steps</w:t>
      </w:r>
      <w:r w:rsidR="001160F7">
        <w:t>.</w:t>
      </w:r>
    </w:p>
    <w:p w:rsidR="0052615B" w:rsidRDefault="0052615B" w:rsidP="0052615B">
      <w:pPr>
        <w:pStyle w:val="SectionHeading"/>
        <w:numPr>
          <w:ilvl w:val="0"/>
          <w:numId w:val="0"/>
        </w:numPr>
      </w:pPr>
    </w:p>
    <w:tbl>
      <w:tblPr>
        <w:tblStyle w:val="TableGrid"/>
        <w:tblW w:w="0" w:type="auto"/>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12"/>
        <w:gridCol w:w="1913"/>
        <w:gridCol w:w="1912"/>
        <w:gridCol w:w="1913"/>
      </w:tblGrid>
      <w:tr w:rsidR="00B54BA1" w:rsidTr="00B54BA1">
        <w:trPr>
          <w:trHeight w:val="315"/>
          <w:jc w:val="right"/>
        </w:trPr>
        <w:tc>
          <w:tcPr>
            <w:tcW w:w="7650" w:type="dxa"/>
            <w:gridSpan w:val="4"/>
            <w:shd w:val="clear" w:color="auto" w:fill="D9D9D9" w:themeFill="background1" w:themeFillShade="D9"/>
            <w:vAlign w:val="center"/>
          </w:tcPr>
          <w:p w:rsidR="00B54BA1" w:rsidRPr="00B54BA1" w:rsidRDefault="00B54BA1" w:rsidP="002654F2">
            <w:pPr>
              <w:jc w:val="both"/>
              <w:outlineLvl w:val="0"/>
              <w:rPr>
                <w:rFonts w:ascii="Century Gothic" w:hAnsi="Century Gothic" w:cs="Arial"/>
                <w:b/>
                <w:color w:val="808080" w:themeColor="background1" w:themeShade="80"/>
                <w:sz w:val="18"/>
                <w:lang w:val="en-US"/>
              </w:rPr>
            </w:pPr>
            <w:r w:rsidRPr="00B54BA1">
              <w:rPr>
                <w:rFonts w:ascii="Century Gothic" w:hAnsi="Century Gothic" w:cs="Arial"/>
                <w:b/>
                <w:color w:val="808080" w:themeColor="background1" w:themeShade="80"/>
                <w:lang w:val="en-US"/>
              </w:rPr>
              <w:t>Policy Publication and Review Log</w:t>
            </w:r>
          </w:p>
        </w:tc>
      </w:tr>
      <w:tr w:rsidR="005A2889" w:rsidTr="00B54BA1">
        <w:trPr>
          <w:jc w:val="right"/>
        </w:trPr>
        <w:tc>
          <w:tcPr>
            <w:tcW w:w="1912" w:type="dxa"/>
            <w:shd w:val="clear" w:color="auto" w:fill="D9D9D9" w:themeFill="background1" w:themeFillShade="D9"/>
          </w:tcPr>
          <w:p w:rsidR="005A2889" w:rsidRPr="00B54BA1" w:rsidRDefault="005A2889" w:rsidP="002654F2">
            <w:pPr>
              <w:jc w:val="both"/>
              <w:outlineLvl w:val="0"/>
              <w:rPr>
                <w:rFonts w:ascii="Century Gothic" w:hAnsi="Century Gothic" w:cs="Arial"/>
                <w:color w:val="808080" w:themeColor="background1" w:themeShade="80"/>
                <w:sz w:val="18"/>
                <w:lang w:val="en-US"/>
              </w:rPr>
            </w:pPr>
            <w:r w:rsidRPr="00B54BA1">
              <w:rPr>
                <w:rFonts w:ascii="Century Gothic" w:hAnsi="Century Gothic" w:cs="Arial"/>
                <w:color w:val="808080" w:themeColor="background1" w:themeShade="80"/>
                <w:sz w:val="18"/>
                <w:lang w:val="en-US"/>
              </w:rPr>
              <w:t>Publication Date</w:t>
            </w:r>
          </w:p>
        </w:tc>
        <w:tc>
          <w:tcPr>
            <w:tcW w:w="1913" w:type="dxa"/>
            <w:shd w:val="clear" w:color="auto" w:fill="D9D9D9" w:themeFill="background1" w:themeFillShade="D9"/>
          </w:tcPr>
          <w:p w:rsidR="005A2889" w:rsidRPr="00B54BA1" w:rsidRDefault="005A2889" w:rsidP="002654F2">
            <w:pPr>
              <w:jc w:val="both"/>
              <w:outlineLvl w:val="0"/>
              <w:rPr>
                <w:rFonts w:ascii="Century Gothic" w:hAnsi="Century Gothic" w:cs="Arial"/>
                <w:color w:val="808080" w:themeColor="background1" w:themeShade="80"/>
                <w:sz w:val="18"/>
                <w:lang w:val="en-US"/>
              </w:rPr>
            </w:pPr>
            <w:r w:rsidRPr="00B54BA1">
              <w:rPr>
                <w:rFonts w:ascii="Century Gothic" w:hAnsi="Century Gothic" w:cs="Arial"/>
                <w:color w:val="808080" w:themeColor="background1" w:themeShade="80"/>
                <w:sz w:val="18"/>
                <w:lang w:val="en-US"/>
              </w:rPr>
              <w:t>Approval Date</w:t>
            </w:r>
          </w:p>
        </w:tc>
        <w:tc>
          <w:tcPr>
            <w:tcW w:w="1912" w:type="dxa"/>
            <w:shd w:val="clear" w:color="auto" w:fill="D9D9D9" w:themeFill="background1" w:themeFillShade="D9"/>
          </w:tcPr>
          <w:p w:rsidR="005A2889" w:rsidRPr="00B54BA1" w:rsidRDefault="005A2889" w:rsidP="002654F2">
            <w:pPr>
              <w:jc w:val="both"/>
              <w:outlineLvl w:val="0"/>
              <w:rPr>
                <w:rFonts w:ascii="Century Gothic" w:hAnsi="Century Gothic" w:cs="Arial"/>
                <w:color w:val="808080" w:themeColor="background1" w:themeShade="80"/>
                <w:sz w:val="18"/>
                <w:lang w:val="en-US"/>
              </w:rPr>
            </w:pPr>
            <w:r w:rsidRPr="00B54BA1">
              <w:rPr>
                <w:rFonts w:ascii="Century Gothic" w:hAnsi="Century Gothic" w:cs="Arial"/>
                <w:color w:val="808080" w:themeColor="background1" w:themeShade="80"/>
                <w:sz w:val="18"/>
                <w:lang w:val="en-US"/>
              </w:rPr>
              <w:t>Review Date</w:t>
            </w:r>
          </w:p>
        </w:tc>
        <w:tc>
          <w:tcPr>
            <w:tcW w:w="1913" w:type="dxa"/>
            <w:shd w:val="clear" w:color="auto" w:fill="D9D9D9" w:themeFill="background1" w:themeFillShade="D9"/>
          </w:tcPr>
          <w:p w:rsidR="005A2889" w:rsidRPr="00B54BA1" w:rsidRDefault="005A2889" w:rsidP="002654F2">
            <w:pPr>
              <w:jc w:val="both"/>
              <w:outlineLvl w:val="0"/>
              <w:rPr>
                <w:rFonts w:ascii="Century Gothic" w:hAnsi="Century Gothic" w:cs="Arial"/>
                <w:color w:val="808080" w:themeColor="background1" w:themeShade="80"/>
                <w:sz w:val="18"/>
                <w:lang w:val="en-US"/>
              </w:rPr>
            </w:pPr>
            <w:r w:rsidRPr="00B54BA1">
              <w:rPr>
                <w:rFonts w:ascii="Century Gothic" w:hAnsi="Century Gothic" w:cs="Arial"/>
                <w:color w:val="808080" w:themeColor="background1" w:themeShade="80"/>
                <w:sz w:val="18"/>
                <w:lang w:val="en-US"/>
              </w:rPr>
              <w:t>Reviewer</w:t>
            </w:r>
          </w:p>
        </w:tc>
      </w:tr>
      <w:tr w:rsidR="005A2889" w:rsidTr="00B54BA1">
        <w:trPr>
          <w:jc w:val="right"/>
        </w:trPr>
        <w:tc>
          <w:tcPr>
            <w:tcW w:w="1912" w:type="dxa"/>
          </w:tcPr>
          <w:p w:rsidR="005A2889" w:rsidRPr="005A2889" w:rsidRDefault="001160F7" w:rsidP="002654F2">
            <w:pPr>
              <w:jc w:val="both"/>
              <w:outlineLvl w:val="0"/>
              <w:rPr>
                <w:rFonts w:asciiTheme="minorHAnsi" w:hAnsiTheme="minorHAnsi" w:cs="Arial"/>
                <w:color w:val="808080" w:themeColor="background1" w:themeShade="80"/>
                <w:sz w:val="18"/>
                <w:lang w:val="en-US"/>
              </w:rPr>
            </w:pPr>
            <w:r>
              <w:rPr>
                <w:rFonts w:asciiTheme="minorHAnsi" w:hAnsiTheme="minorHAnsi" w:cs="Arial"/>
                <w:color w:val="808080" w:themeColor="background1" w:themeShade="80"/>
                <w:sz w:val="18"/>
                <w:lang w:val="en-US"/>
              </w:rPr>
              <w:t>3</w:t>
            </w:r>
            <w:r w:rsidRPr="001160F7">
              <w:rPr>
                <w:rFonts w:asciiTheme="minorHAnsi" w:hAnsiTheme="minorHAnsi" w:cs="Arial"/>
                <w:color w:val="808080" w:themeColor="background1" w:themeShade="80"/>
                <w:sz w:val="18"/>
                <w:vertAlign w:val="superscript"/>
                <w:lang w:val="en-US"/>
              </w:rPr>
              <w:t>rd</w:t>
            </w:r>
            <w:r>
              <w:rPr>
                <w:rFonts w:asciiTheme="minorHAnsi" w:hAnsiTheme="minorHAnsi" w:cs="Arial"/>
                <w:color w:val="808080" w:themeColor="background1" w:themeShade="80"/>
                <w:sz w:val="18"/>
                <w:lang w:val="en-US"/>
              </w:rPr>
              <w:t xml:space="preserve"> September 2015</w:t>
            </w:r>
          </w:p>
        </w:tc>
        <w:tc>
          <w:tcPr>
            <w:tcW w:w="1913" w:type="dxa"/>
          </w:tcPr>
          <w:p w:rsidR="005A2889" w:rsidRPr="005A2889" w:rsidRDefault="005A2889" w:rsidP="002654F2">
            <w:pPr>
              <w:jc w:val="both"/>
              <w:outlineLvl w:val="0"/>
              <w:rPr>
                <w:rFonts w:asciiTheme="minorHAnsi" w:hAnsiTheme="minorHAnsi" w:cs="Arial"/>
                <w:color w:val="808080" w:themeColor="background1" w:themeShade="80"/>
                <w:sz w:val="18"/>
                <w:lang w:val="en-US"/>
              </w:rPr>
            </w:pPr>
          </w:p>
        </w:tc>
        <w:tc>
          <w:tcPr>
            <w:tcW w:w="1912" w:type="dxa"/>
          </w:tcPr>
          <w:p w:rsidR="005A2889" w:rsidRPr="005A2889" w:rsidRDefault="001160F7" w:rsidP="002654F2">
            <w:pPr>
              <w:jc w:val="both"/>
              <w:outlineLvl w:val="0"/>
              <w:rPr>
                <w:rFonts w:asciiTheme="minorHAnsi" w:hAnsiTheme="minorHAnsi" w:cs="Arial"/>
                <w:color w:val="808080" w:themeColor="background1" w:themeShade="80"/>
                <w:sz w:val="18"/>
                <w:lang w:val="en-US"/>
              </w:rPr>
            </w:pPr>
            <w:r>
              <w:rPr>
                <w:rFonts w:asciiTheme="minorHAnsi" w:hAnsiTheme="minorHAnsi" w:cs="Arial"/>
                <w:color w:val="808080" w:themeColor="background1" w:themeShade="80"/>
                <w:sz w:val="18"/>
                <w:lang w:val="en-US"/>
              </w:rPr>
              <w:t>September 2016</w:t>
            </w:r>
          </w:p>
        </w:tc>
        <w:tc>
          <w:tcPr>
            <w:tcW w:w="1913" w:type="dxa"/>
          </w:tcPr>
          <w:p w:rsidR="005A2889" w:rsidRPr="005A2889" w:rsidRDefault="00B54BA1" w:rsidP="001160F7">
            <w:pPr>
              <w:jc w:val="both"/>
              <w:outlineLvl w:val="0"/>
              <w:rPr>
                <w:rFonts w:asciiTheme="minorHAnsi" w:hAnsiTheme="minorHAnsi" w:cs="Arial"/>
                <w:color w:val="808080" w:themeColor="background1" w:themeShade="80"/>
                <w:sz w:val="18"/>
                <w:lang w:val="en-US"/>
              </w:rPr>
            </w:pPr>
            <w:r>
              <w:rPr>
                <w:rFonts w:asciiTheme="minorHAnsi" w:hAnsiTheme="minorHAnsi" w:cs="Arial"/>
                <w:color w:val="808080" w:themeColor="background1" w:themeShade="80"/>
                <w:sz w:val="18"/>
                <w:lang w:val="en-US"/>
              </w:rPr>
              <w:t>Mr</w:t>
            </w:r>
            <w:r w:rsidR="001160F7">
              <w:rPr>
                <w:rFonts w:asciiTheme="minorHAnsi" w:hAnsiTheme="minorHAnsi" w:cs="Arial"/>
                <w:color w:val="808080" w:themeColor="background1" w:themeShade="80"/>
                <w:sz w:val="18"/>
                <w:lang w:val="en-US"/>
              </w:rPr>
              <w:t xml:space="preserve">s C </w:t>
            </w:r>
            <w:proofErr w:type="spellStart"/>
            <w:r w:rsidR="001160F7">
              <w:rPr>
                <w:rFonts w:asciiTheme="minorHAnsi" w:hAnsiTheme="minorHAnsi" w:cs="Arial"/>
                <w:color w:val="808080" w:themeColor="background1" w:themeShade="80"/>
                <w:sz w:val="18"/>
                <w:lang w:val="en-US"/>
              </w:rPr>
              <w:t>Keaskin</w:t>
            </w:r>
            <w:proofErr w:type="spellEnd"/>
          </w:p>
        </w:tc>
      </w:tr>
      <w:tr w:rsidR="005A2889" w:rsidTr="00B54BA1">
        <w:trPr>
          <w:jc w:val="right"/>
        </w:trPr>
        <w:tc>
          <w:tcPr>
            <w:tcW w:w="1912" w:type="dxa"/>
          </w:tcPr>
          <w:p w:rsidR="005A2889" w:rsidRPr="005A2889" w:rsidRDefault="005A2889" w:rsidP="002654F2">
            <w:pPr>
              <w:jc w:val="both"/>
              <w:outlineLvl w:val="0"/>
              <w:rPr>
                <w:rFonts w:asciiTheme="minorHAnsi" w:hAnsiTheme="minorHAnsi" w:cs="Arial"/>
                <w:color w:val="808080" w:themeColor="background1" w:themeShade="80"/>
                <w:sz w:val="18"/>
                <w:lang w:val="en-US"/>
              </w:rPr>
            </w:pPr>
          </w:p>
        </w:tc>
        <w:tc>
          <w:tcPr>
            <w:tcW w:w="1913" w:type="dxa"/>
          </w:tcPr>
          <w:p w:rsidR="005A2889" w:rsidRPr="005A2889" w:rsidRDefault="005A2889" w:rsidP="002654F2">
            <w:pPr>
              <w:jc w:val="both"/>
              <w:outlineLvl w:val="0"/>
              <w:rPr>
                <w:rFonts w:asciiTheme="minorHAnsi" w:hAnsiTheme="minorHAnsi" w:cs="Arial"/>
                <w:color w:val="808080" w:themeColor="background1" w:themeShade="80"/>
                <w:sz w:val="18"/>
                <w:lang w:val="en-US"/>
              </w:rPr>
            </w:pPr>
          </w:p>
        </w:tc>
        <w:tc>
          <w:tcPr>
            <w:tcW w:w="1912" w:type="dxa"/>
          </w:tcPr>
          <w:p w:rsidR="005A2889" w:rsidRPr="005A2889" w:rsidRDefault="005A2889" w:rsidP="002654F2">
            <w:pPr>
              <w:jc w:val="both"/>
              <w:outlineLvl w:val="0"/>
              <w:rPr>
                <w:rFonts w:asciiTheme="minorHAnsi" w:hAnsiTheme="minorHAnsi" w:cs="Arial"/>
                <w:color w:val="808080" w:themeColor="background1" w:themeShade="80"/>
                <w:sz w:val="18"/>
                <w:lang w:val="en-US"/>
              </w:rPr>
            </w:pPr>
          </w:p>
        </w:tc>
        <w:tc>
          <w:tcPr>
            <w:tcW w:w="1913" w:type="dxa"/>
          </w:tcPr>
          <w:p w:rsidR="005A2889" w:rsidRPr="005A2889" w:rsidRDefault="005A2889" w:rsidP="002654F2">
            <w:pPr>
              <w:jc w:val="both"/>
              <w:outlineLvl w:val="0"/>
              <w:rPr>
                <w:rFonts w:asciiTheme="minorHAnsi" w:hAnsiTheme="minorHAnsi" w:cs="Arial"/>
                <w:color w:val="808080" w:themeColor="background1" w:themeShade="80"/>
                <w:sz w:val="18"/>
                <w:lang w:val="en-US"/>
              </w:rPr>
            </w:pPr>
          </w:p>
        </w:tc>
      </w:tr>
    </w:tbl>
    <w:p w:rsidR="005A2889" w:rsidRPr="005A2889" w:rsidRDefault="005A2889" w:rsidP="005A2889">
      <w:pPr>
        <w:pStyle w:val="SectionHeading"/>
        <w:numPr>
          <w:ilvl w:val="0"/>
          <w:numId w:val="0"/>
        </w:numPr>
        <w:ind w:left="360"/>
      </w:pPr>
    </w:p>
    <w:sectPr w:rsidR="005A2889" w:rsidRPr="005A2889" w:rsidSect="005A2889">
      <w:headerReference w:type="even" r:id="rId7"/>
      <w:headerReference w:type="default" r:id="rId8"/>
      <w:footerReference w:type="even" r:id="rId9"/>
      <w:footerReference w:type="default" r:id="rId10"/>
      <w:headerReference w:type="first" r:id="rId11"/>
      <w:footerReference w:type="first" r:id="rId12"/>
      <w:pgSz w:w="11906" w:h="16838"/>
      <w:pgMar w:top="1418" w:right="720" w:bottom="720" w:left="720" w:header="708"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54" w:rsidRDefault="005B2154" w:rsidP="00BB198C">
      <w:pPr>
        <w:spacing w:after="0" w:line="240" w:lineRule="auto"/>
      </w:pPr>
      <w:r>
        <w:separator/>
      </w:r>
    </w:p>
  </w:endnote>
  <w:endnote w:type="continuationSeparator" w:id="0">
    <w:p w:rsidR="005B2154" w:rsidRDefault="005B2154" w:rsidP="00BB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B71" w:rsidRDefault="00627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149622"/>
      <w:docPartObj>
        <w:docPartGallery w:val="Page Numbers (Bottom of Page)"/>
        <w:docPartUnique/>
      </w:docPartObj>
    </w:sdtPr>
    <w:sdtEndPr>
      <w:rPr>
        <w:noProof/>
        <w:color w:val="002060"/>
      </w:rPr>
    </w:sdtEndPr>
    <w:sdtContent>
      <w:p w:rsidR="00BB198C" w:rsidRPr="005A2889" w:rsidRDefault="005A2889" w:rsidP="005A2889">
        <w:pPr>
          <w:pStyle w:val="Footer"/>
          <w:jc w:val="center"/>
          <w:rPr>
            <w:color w:val="002060"/>
          </w:rPr>
        </w:pPr>
        <w:r w:rsidRPr="005A2889">
          <w:rPr>
            <w:color w:val="002060"/>
          </w:rPr>
          <w:fldChar w:fldCharType="begin"/>
        </w:r>
        <w:r w:rsidRPr="005A2889">
          <w:rPr>
            <w:color w:val="002060"/>
          </w:rPr>
          <w:instrText xml:space="preserve"> PAGE   \* MERGEFORMAT </w:instrText>
        </w:r>
        <w:r w:rsidRPr="005A2889">
          <w:rPr>
            <w:color w:val="002060"/>
          </w:rPr>
          <w:fldChar w:fldCharType="separate"/>
        </w:r>
        <w:r w:rsidR="00627B71">
          <w:rPr>
            <w:noProof/>
            <w:color w:val="002060"/>
          </w:rPr>
          <w:t>3</w:t>
        </w:r>
        <w:r w:rsidRPr="005A2889">
          <w:rPr>
            <w:noProof/>
            <w:color w:val="00206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8C" w:rsidRPr="00BB198C" w:rsidRDefault="00BB198C">
    <w:pPr>
      <w:pStyle w:val="Footer"/>
      <w:rPr>
        <w:rFonts w:ascii="Century Gothic" w:hAnsi="Century Gothic"/>
        <w:b/>
        <w:color w:val="D9D9D9" w:themeColor="background1" w:themeShade="D9"/>
        <w:sz w:val="72"/>
      </w:rPr>
    </w:pPr>
    <w:r w:rsidRPr="00BB198C">
      <w:rPr>
        <w:noProof/>
        <w:sz w:val="20"/>
        <w:lang w:eastAsia="en-GB"/>
      </w:rPr>
      <mc:AlternateContent>
        <mc:Choice Requires="wps">
          <w:drawing>
            <wp:anchor distT="0" distB="0" distL="114300" distR="114300" simplePos="0" relativeHeight="251661312" behindDoc="0" locked="0" layoutInCell="1" allowOverlap="1" wp14:anchorId="03F3230D" wp14:editId="21944A2B">
              <wp:simplePos x="0" y="0"/>
              <wp:positionH relativeFrom="margin">
                <wp:posOffset>3942715</wp:posOffset>
              </wp:positionH>
              <wp:positionV relativeFrom="paragraph">
                <wp:posOffset>-61595</wp:posOffset>
              </wp:positionV>
              <wp:extent cx="2931795" cy="88646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2931795" cy="886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98C" w:rsidRPr="00BB198C" w:rsidRDefault="00BB198C" w:rsidP="00BB198C">
                          <w:pPr>
                            <w:spacing w:after="0" w:line="240" w:lineRule="auto"/>
                            <w:jc w:val="right"/>
                            <w:rPr>
                              <w:rFonts w:ascii="Century Gothic" w:hAnsi="Century Gothic"/>
                              <w:b/>
                              <w:sz w:val="20"/>
                            </w:rPr>
                          </w:pPr>
                          <w:r w:rsidRPr="00BB198C">
                            <w:rPr>
                              <w:rFonts w:ascii="Century Gothic" w:hAnsi="Century Gothic"/>
                              <w:b/>
                              <w:sz w:val="20"/>
                            </w:rPr>
                            <w:t>Carr Hill High School &amp; Sixth Form Centre</w:t>
                          </w:r>
                        </w:p>
                        <w:p w:rsidR="00BB198C" w:rsidRPr="00BB198C" w:rsidRDefault="00BB198C" w:rsidP="00BB198C">
                          <w:pPr>
                            <w:spacing w:after="0" w:line="240" w:lineRule="auto"/>
                            <w:jc w:val="right"/>
                            <w:rPr>
                              <w:rFonts w:ascii="Century Gothic" w:hAnsi="Century Gothic"/>
                              <w:sz w:val="20"/>
                            </w:rPr>
                          </w:pPr>
                          <w:r w:rsidRPr="00BB198C">
                            <w:rPr>
                              <w:rFonts w:ascii="Century Gothic" w:hAnsi="Century Gothic"/>
                              <w:sz w:val="20"/>
                            </w:rPr>
                            <w:t>Royal Avenue, Kirkham, Preston. PR4 2ST</w:t>
                          </w:r>
                        </w:p>
                        <w:p w:rsidR="00BB198C" w:rsidRPr="00BB198C" w:rsidRDefault="00BB198C" w:rsidP="00BB198C">
                          <w:pPr>
                            <w:spacing w:after="0" w:line="240" w:lineRule="auto"/>
                            <w:jc w:val="right"/>
                            <w:rPr>
                              <w:rFonts w:ascii="Century Gothic" w:hAnsi="Century Gothic"/>
                              <w:sz w:val="20"/>
                            </w:rPr>
                          </w:pPr>
                          <w:r w:rsidRPr="00BB198C">
                            <w:rPr>
                              <w:rFonts w:ascii="Century Gothic" w:hAnsi="Century Gothic"/>
                              <w:sz w:val="20"/>
                            </w:rPr>
                            <w:t>01772 682008</w:t>
                          </w:r>
                        </w:p>
                        <w:p w:rsidR="00BB198C" w:rsidRPr="00BB198C" w:rsidRDefault="00BB198C" w:rsidP="00BB198C">
                          <w:pPr>
                            <w:spacing w:after="0" w:line="240" w:lineRule="auto"/>
                            <w:jc w:val="right"/>
                            <w:rPr>
                              <w:rFonts w:ascii="Century Gothic" w:hAnsi="Century Gothic"/>
                              <w:sz w:val="20"/>
                            </w:rPr>
                          </w:pPr>
                          <w:r w:rsidRPr="00BB198C">
                            <w:rPr>
                              <w:rFonts w:ascii="Century Gothic" w:hAnsi="Century Gothic"/>
                              <w:sz w:val="20"/>
                            </w:rPr>
                            <w:t>www.carrhillschool.com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F3230D" id="_x0000_t202" coordsize="21600,21600" o:spt="202" path="m,l,21600r21600,l21600,xe">
              <v:stroke joinstyle="miter"/>
              <v:path gradientshapeok="t" o:connecttype="rect"/>
            </v:shapetype>
            <v:shape id="Text Box 76" o:spid="_x0000_s1027" type="#_x0000_t202" style="position:absolute;margin-left:310.45pt;margin-top:-4.85pt;width:230.85pt;height:69.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" filled="f" stroked="f" strokeweight=".5pt">
              <v:textbox>
                <w:txbxContent>
                  <w:p w:rsidR="00BB198C" w:rsidRPr="00BB198C" w:rsidRDefault="00BB198C" w:rsidP="00BB198C">
                    <w:pPr>
                      <w:spacing w:after="0" w:line="240" w:lineRule="auto"/>
                      <w:jc w:val="right"/>
                      <w:rPr>
                        <w:rFonts w:ascii="Century Gothic" w:hAnsi="Century Gothic"/>
                        <w:b/>
                        <w:sz w:val="20"/>
                      </w:rPr>
                    </w:pPr>
                    <w:r w:rsidRPr="00BB198C">
                      <w:rPr>
                        <w:rFonts w:ascii="Century Gothic" w:hAnsi="Century Gothic"/>
                        <w:b/>
                        <w:sz w:val="20"/>
                      </w:rPr>
                      <w:t>Carr Hill High School &amp; Sixth Form Centre</w:t>
                    </w:r>
                  </w:p>
                  <w:p w:rsidR="00BB198C" w:rsidRPr="00BB198C" w:rsidRDefault="00BB198C" w:rsidP="00BB198C">
                    <w:pPr>
                      <w:spacing w:after="0" w:line="240" w:lineRule="auto"/>
                      <w:jc w:val="right"/>
                      <w:rPr>
                        <w:rFonts w:ascii="Century Gothic" w:hAnsi="Century Gothic"/>
                        <w:sz w:val="20"/>
                      </w:rPr>
                    </w:pPr>
                    <w:r w:rsidRPr="00BB198C">
                      <w:rPr>
                        <w:rFonts w:ascii="Century Gothic" w:hAnsi="Century Gothic"/>
                        <w:sz w:val="20"/>
                      </w:rPr>
                      <w:t>Royal Avenue, Kirkham, Preston. PR4 2ST</w:t>
                    </w:r>
                  </w:p>
                  <w:p w:rsidR="00BB198C" w:rsidRPr="00BB198C" w:rsidRDefault="00BB198C" w:rsidP="00BB198C">
                    <w:pPr>
                      <w:spacing w:after="0" w:line="240" w:lineRule="auto"/>
                      <w:jc w:val="right"/>
                      <w:rPr>
                        <w:rFonts w:ascii="Century Gothic" w:hAnsi="Century Gothic"/>
                        <w:sz w:val="20"/>
                      </w:rPr>
                    </w:pPr>
                    <w:r w:rsidRPr="00BB198C">
                      <w:rPr>
                        <w:rFonts w:ascii="Century Gothic" w:hAnsi="Century Gothic"/>
                        <w:sz w:val="20"/>
                      </w:rPr>
                      <w:t>01772 682008</w:t>
                    </w:r>
                  </w:p>
                  <w:p w:rsidR="00BB198C" w:rsidRPr="00BB198C" w:rsidRDefault="00BB198C" w:rsidP="00BB198C">
                    <w:pPr>
                      <w:spacing w:after="0" w:line="240" w:lineRule="auto"/>
                      <w:jc w:val="right"/>
                      <w:rPr>
                        <w:rFonts w:ascii="Century Gothic" w:hAnsi="Century Gothic"/>
                        <w:sz w:val="20"/>
                      </w:rPr>
                    </w:pPr>
                    <w:r w:rsidRPr="00BB198C">
                      <w:rPr>
                        <w:rFonts w:ascii="Century Gothic" w:hAnsi="Century Gothic"/>
                        <w:sz w:val="20"/>
                      </w:rPr>
                      <w:t>www.carrhillschool.com</w:t>
                    </w:r>
                  </w:p>
                </w:txbxContent>
              </v:textbox>
              <w10:wrap anchorx="margin"/>
            </v:shape>
          </w:pict>
        </mc:Fallback>
      </mc:AlternateContent>
    </w:r>
    <w:r w:rsidRPr="00BB198C">
      <w:rPr>
        <w:rFonts w:ascii="Century Gothic" w:hAnsi="Century Gothic"/>
        <w:b/>
        <w:color w:val="D9D9D9" w:themeColor="background1" w:themeShade="D9"/>
        <w:sz w:val="56"/>
      </w:rPr>
      <w:t>In Pursuit of Excellence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54" w:rsidRDefault="005B2154" w:rsidP="00BB198C">
      <w:pPr>
        <w:spacing w:after="0" w:line="240" w:lineRule="auto"/>
      </w:pPr>
      <w:r>
        <w:separator/>
      </w:r>
    </w:p>
  </w:footnote>
  <w:footnote w:type="continuationSeparator" w:id="0">
    <w:p w:rsidR="005B2154" w:rsidRDefault="005B2154" w:rsidP="00BB1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B71" w:rsidRDefault="00627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89" w:rsidRDefault="005A2889" w:rsidP="005A2889">
    <w:pPr>
      <w:pStyle w:val="Header"/>
      <w:jc w:val="right"/>
    </w:pPr>
    <w:r>
      <w:rPr>
        <w:noProof/>
        <w:lang w:eastAsia="en-GB"/>
      </w:rPr>
      <w:drawing>
        <wp:inline distT="0" distB="0" distL="0" distR="0">
          <wp:extent cx="1417320" cy="222504"/>
          <wp:effectExtent l="0" t="0" r="0" b="635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Brand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22250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8C" w:rsidRDefault="00627B71">
    <w:pPr>
      <w:pStyle w:val="Header"/>
    </w:pPr>
    <w:sdt>
      <w:sdtPr>
        <w:id w:val="-1555921695"/>
        <w:docPartObj>
          <w:docPartGallery w:val="Watermarks"/>
          <w:docPartUnique/>
        </w:docPartObj>
      </w:sdt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B198C" w:rsidRPr="00BB198C">
      <w:rPr>
        <w:noProof/>
        <w:lang w:eastAsia="en-GB"/>
      </w:rPr>
      <w:drawing>
        <wp:anchor distT="0" distB="0" distL="114300" distR="114300" simplePos="0" relativeHeight="251659264" behindDoc="1" locked="0" layoutInCell="1" allowOverlap="1" wp14:anchorId="5F253C5B" wp14:editId="328964B2">
          <wp:simplePos x="0" y="0"/>
          <wp:positionH relativeFrom="column">
            <wp:posOffset>1346540</wp:posOffset>
          </wp:positionH>
          <wp:positionV relativeFrom="paragraph">
            <wp:posOffset>638241</wp:posOffset>
          </wp:positionV>
          <wp:extent cx="7426379" cy="7362496"/>
          <wp:effectExtent l="0" t="0" r="3175"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 Brand MED.jp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7447292" cy="7383229"/>
                  </a:xfrm>
                  <a:prstGeom prst="rect">
                    <a:avLst/>
                  </a:prstGeom>
                </pic:spPr>
              </pic:pic>
            </a:graphicData>
          </a:graphic>
          <wp14:sizeRelH relativeFrom="margin">
            <wp14:pctWidth>0</wp14:pctWidth>
          </wp14:sizeRelH>
          <wp14:sizeRelV relativeFrom="margin">
            <wp14:pctHeight>0</wp14:pctHeight>
          </wp14:sizeRelV>
        </wp:anchor>
      </w:drawing>
    </w:r>
    <w:r w:rsidR="00BB198C" w:rsidRPr="00BB198C">
      <w:rPr>
        <w:noProof/>
        <w:lang w:eastAsia="en-GB"/>
      </w:rPr>
      <w:drawing>
        <wp:anchor distT="0" distB="0" distL="114300" distR="114300" simplePos="0" relativeHeight="251660288" behindDoc="1" locked="0" layoutInCell="1" allowOverlap="1" wp14:anchorId="10160CE6" wp14:editId="38F99352">
          <wp:simplePos x="0" y="0"/>
          <wp:positionH relativeFrom="column">
            <wp:posOffset>0</wp:posOffset>
          </wp:positionH>
          <wp:positionV relativeFrom="paragraph">
            <wp:posOffset>-635</wp:posOffset>
          </wp:positionV>
          <wp:extent cx="3405351" cy="533854"/>
          <wp:effectExtent l="0" t="0" r="508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75214" cy="54480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8484F"/>
    <w:multiLevelType w:val="hybridMultilevel"/>
    <w:tmpl w:val="9FC6F3B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4B152A7"/>
    <w:multiLevelType w:val="hybridMultilevel"/>
    <w:tmpl w:val="B216704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322D0"/>
    <w:multiLevelType w:val="multilevel"/>
    <w:tmpl w:val="DFAE9086"/>
    <w:lvl w:ilvl="0">
      <w:start w:val="1"/>
      <w:numFmt w:val="decimal"/>
      <w:pStyle w:val="SectionHeading"/>
      <w:lvlText w:val="%1."/>
      <w:lvlJc w:val="left"/>
      <w:pPr>
        <w:ind w:left="360" w:hanging="360"/>
      </w:pPr>
    </w:lvl>
    <w:lvl w:ilvl="1">
      <w:start w:val="1"/>
      <w:numFmt w:val="decimal"/>
      <w:pStyle w:val="PolicyBody"/>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CE13BF"/>
    <w:multiLevelType w:val="hybridMultilevel"/>
    <w:tmpl w:val="EC367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19F5F2A"/>
    <w:multiLevelType w:val="hybridMultilevel"/>
    <w:tmpl w:val="33D624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A7259CC"/>
    <w:multiLevelType w:val="hybridMultilevel"/>
    <w:tmpl w:val="B32E6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8C"/>
    <w:rsid w:val="001160F7"/>
    <w:rsid w:val="002A2AF7"/>
    <w:rsid w:val="0052615B"/>
    <w:rsid w:val="005A2889"/>
    <w:rsid w:val="005B2154"/>
    <w:rsid w:val="00627B71"/>
    <w:rsid w:val="00956629"/>
    <w:rsid w:val="00AF0D92"/>
    <w:rsid w:val="00B54BA1"/>
    <w:rsid w:val="00BB198C"/>
    <w:rsid w:val="00BB7D28"/>
    <w:rsid w:val="00DC0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59C46B1F-94A3-4294-90CD-A00EF3CA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98C"/>
  </w:style>
  <w:style w:type="paragraph" w:styleId="Footer">
    <w:name w:val="footer"/>
    <w:basedOn w:val="Normal"/>
    <w:link w:val="FooterChar"/>
    <w:uiPriority w:val="99"/>
    <w:unhideWhenUsed/>
    <w:rsid w:val="00BB1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98C"/>
  </w:style>
  <w:style w:type="paragraph" w:styleId="ListParagraph">
    <w:name w:val="List Paragraph"/>
    <w:basedOn w:val="Normal"/>
    <w:link w:val="ListParagraphChar"/>
    <w:uiPriority w:val="34"/>
    <w:qFormat/>
    <w:rsid w:val="00BB198C"/>
    <w:pPr>
      <w:ind w:left="720"/>
      <w:contextualSpacing/>
    </w:pPr>
  </w:style>
  <w:style w:type="paragraph" w:customStyle="1" w:styleId="SectionHeading">
    <w:name w:val="Section Heading"/>
    <w:basedOn w:val="ListParagraph"/>
    <w:link w:val="SectionHeadingChar"/>
    <w:qFormat/>
    <w:rsid w:val="005A2889"/>
    <w:pPr>
      <w:numPr>
        <w:numId w:val="1"/>
      </w:numPr>
      <w:spacing w:line="240" w:lineRule="auto"/>
    </w:pPr>
    <w:rPr>
      <w:rFonts w:ascii="Century Gothic" w:hAnsi="Century Gothic"/>
      <w:color w:val="002060"/>
      <w:sz w:val="24"/>
    </w:rPr>
  </w:style>
  <w:style w:type="paragraph" w:customStyle="1" w:styleId="PolicyBody">
    <w:name w:val="Policy Body"/>
    <w:basedOn w:val="ListParagraph"/>
    <w:link w:val="PolicyBodyChar"/>
    <w:qFormat/>
    <w:rsid w:val="005A2889"/>
    <w:pPr>
      <w:numPr>
        <w:ilvl w:val="1"/>
        <w:numId w:val="1"/>
      </w:numPr>
      <w:spacing w:line="240" w:lineRule="auto"/>
    </w:pPr>
  </w:style>
  <w:style w:type="character" w:customStyle="1" w:styleId="ListParagraphChar">
    <w:name w:val="List Paragraph Char"/>
    <w:basedOn w:val="DefaultParagraphFont"/>
    <w:link w:val="ListParagraph"/>
    <w:uiPriority w:val="34"/>
    <w:rsid w:val="005A2889"/>
  </w:style>
  <w:style w:type="character" w:customStyle="1" w:styleId="SectionHeadingChar">
    <w:name w:val="Section Heading Char"/>
    <w:basedOn w:val="ListParagraphChar"/>
    <w:link w:val="SectionHeading"/>
    <w:rsid w:val="005A2889"/>
    <w:rPr>
      <w:rFonts w:ascii="Century Gothic" w:hAnsi="Century Gothic"/>
      <w:color w:val="002060"/>
      <w:sz w:val="24"/>
    </w:rPr>
  </w:style>
  <w:style w:type="table" w:styleId="TableGrid">
    <w:name w:val="Table Grid"/>
    <w:basedOn w:val="TableNormal"/>
    <w:uiPriority w:val="59"/>
    <w:rsid w:val="005A288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BodyChar">
    <w:name w:val="Policy Body Char"/>
    <w:basedOn w:val="ListParagraphChar"/>
    <w:link w:val="PolicyBody"/>
    <w:rsid w:val="005A2889"/>
  </w:style>
  <w:style w:type="paragraph" w:styleId="BalloonText">
    <w:name w:val="Balloon Text"/>
    <w:basedOn w:val="Normal"/>
    <w:link w:val="BalloonTextChar"/>
    <w:uiPriority w:val="99"/>
    <w:semiHidden/>
    <w:unhideWhenUsed/>
    <w:rsid w:val="00AF0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G Napier</dc:creator>
  <cp:lastModifiedBy>Mrs E Bateson</cp:lastModifiedBy>
  <cp:revision>2</cp:revision>
  <dcterms:created xsi:type="dcterms:W3CDTF">2015-09-04T06:51:00Z</dcterms:created>
  <dcterms:modified xsi:type="dcterms:W3CDTF">2015-09-04T06:51:00Z</dcterms:modified>
</cp:coreProperties>
</file>